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F52AA" w14:textId="77777777" w:rsidR="000C6A69" w:rsidRDefault="000C6A69">
      <w:pPr>
        <w:pStyle w:val="Heading2"/>
        <w:rPr>
          <w:b w:val="0"/>
          <w:bCs/>
          <w:color w:val="auto"/>
          <w:sz w:val="24"/>
          <w:szCs w:val="24"/>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2A7D54B2" w14:textId="787FEEE0"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0C6A69">
        <w:rPr>
          <w:b w:val="0"/>
          <w:bCs/>
          <w:color w:val="auto"/>
          <w:sz w:val="24"/>
          <w:szCs w:val="24"/>
        </w:rPr>
        <w:t>4</w:t>
      </w:r>
      <w:r>
        <w:rPr>
          <w:b w:val="0"/>
          <w:bCs/>
          <w:color w:val="auto"/>
          <w:sz w:val="24"/>
          <w:szCs w:val="24"/>
        </w:rPr>
        <w:t xml:space="preserve"> to 202</w:t>
      </w:r>
      <w:r w:rsidR="000C6A69">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177BF6BD" w:rsidR="00E66558" w:rsidRDefault="007C7D02">
            <w:pPr>
              <w:pStyle w:val="TableRow"/>
            </w:pPr>
            <w:r>
              <w:t>Manor Field Infant and Nursery School, Long Stratton</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E08B9F1" w:rsidR="00E66558" w:rsidRDefault="000A17F9">
            <w:pPr>
              <w:pStyle w:val="TableRow"/>
            </w:pPr>
            <w:r>
              <w:t>URN143990</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FD38DFE" w:rsidR="00E66558" w:rsidRDefault="00A37C1B">
            <w:pPr>
              <w:pStyle w:val="TableRow"/>
            </w:pPr>
            <w:r>
              <w:t>112</w:t>
            </w:r>
            <w:r w:rsidR="006721DC">
              <w:t xml:space="preserve"> </w:t>
            </w:r>
            <w:proofErr w:type="spellStart"/>
            <w:r w:rsidR="006721DC">
              <w:t>inc</w:t>
            </w:r>
            <w:proofErr w:type="spellEnd"/>
            <w:r w:rsidR="006721DC">
              <w:t xml:space="preserve"> Nursery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213FEA2" w:rsidR="00E66558" w:rsidRDefault="00E53DD2">
            <w:pPr>
              <w:pStyle w:val="TableRow"/>
            </w:pPr>
            <w:r>
              <w:t>17%</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5531F3D" w:rsidR="00E66558" w:rsidRDefault="00416267">
            <w:pPr>
              <w:pStyle w:val="TableRow"/>
            </w:pPr>
            <w:r>
              <w:t>Last year of 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59C2C3F" w:rsidR="00E66558" w:rsidRDefault="000E251D">
            <w:pPr>
              <w:pStyle w:val="TableRow"/>
            </w:pPr>
            <w:r>
              <w:t xml:space="preserve">September </w:t>
            </w:r>
            <w:r w:rsidR="00416267">
              <w:t>20</w:t>
            </w:r>
            <w:r>
              <w:t>22</w:t>
            </w:r>
          </w:p>
        </w:tc>
      </w:tr>
      <w:tr w:rsidR="00761270"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761270" w:rsidRDefault="00761270" w:rsidP="00761270">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C588916" w:rsidR="00761270" w:rsidRDefault="00416267" w:rsidP="00761270">
            <w:pPr>
              <w:pStyle w:val="TableRow"/>
            </w:pPr>
            <w:r>
              <w:t>July 2025</w:t>
            </w:r>
          </w:p>
        </w:tc>
      </w:tr>
      <w:tr w:rsidR="00761270"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761270" w:rsidRDefault="00761270" w:rsidP="00761270">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C58B57E" w:rsidR="00761270" w:rsidRDefault="0013505B" w:rsidP="00761270">
            <w:pPr>
              <w:pStyle w:val="TableRow"/>
            </w:pPr>
            <w:r>
              <w:t>Chair of Trustees</w:t>
            </w:r>
          </w:p>
        </w:tc>
      </w:tr>
      <w:tr w:rsidR="00761270"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761270" w:rsidRDefault="00761270" w:rsidP="00761270">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D53C3E4" w:rsidR="00761270" w:rsidRDefault="00761270" w:rsidP="00761270">
            <w:pPr>
              <w:pStyle w:val="TableRow"/>
            </w:pPr>
            <w:r>
              <w:t>Mrs Heather Haines</w:t>
            </w:r>
          </w:p>
        </w:tc>
      </w:tr>
      <w:tr w:rsidR="00761270"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761270" w:rsidRDefault="00761270" w:rsidP="00761270">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53688E1" w:rsidR="00761270" w:rsidRDefault="00A86C5A" w:rsidP="00761270">
            <w:pPr>
              <w:pStyle w:val="TableRow"/>
            </w:pPr>
            <w:r>
              <w:t>Angela Smith</w:t>
            </w:r>
          </w:p>
        </w:tc>
      </w:tr>
    </w:tbl>
    <w:bookmarkEnd w:id="9"/>
    <w:bookmarkEnd w:id="10"/>
    <w:bookmarkEnd w:id="11"/>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295A598" w:rsidR="00E66558" w:rsidRDefault="009D71E8" w:rsidP="00026A50">
            <w:pPr>
              <w:pStyle w:val="TableRow"/>
              <w:ind w:left="0"/>
            </w:pPr>
            <w:r>
              <w:t>£</w:t>
            </w:r>
            <w:r w:rsidR="0013505B">
              <w:t>2</w:t>
            </w:r>
            <w:r w:rsidR="00026A50">
              <w:t>8,120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6DCACB2" w:rsidR="00E66558" w:rsidRDefault="00026A50" w:rsidP="00026A50">
            <w:pPr>
              <w:pStyle w:val="TableRow"/>
              <w:ind w:left="0"/>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CBF7AC1" w:rsidR="00E66558" w:rsidRDefault="009D71E8" w:rsidP="00026A50">
            <w:pPr>
              <w:pStyle w:val="TableRow"/>
              <w:ind w:left="0"/>
            </w:pPr>
            <w:r>
              <w:t>£</w:t>
            </w:r>
            <w:r w:rsidR="007C7D02">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ECDE2F" w:rsidR="00E66558" w:rsidRDefault="009D71E8" w:rsidP="00026A50">
            <w:pPr>
              <w:pStyle w:val="TableRow"/>
              <w:ind w:left="0"/>
            </w:pPr>
            <w:r>
              <w:t>£</w:t>
            </w:r>
            <w:r w:rsidR="00026A50">
              <w:t>28,120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69D4" w14:textId="5EA3FD2E" w:rsidR="00E66558" w:rsidRDefault="0013505B" w:rsidP="0013505B">
            <w:pPr>
              <w:rPr>
                <w:iCs/>
              </w:rPr>
            </w:pPr>
            <w:r w:rsidRPr="0013505B">
              <w:rPr>
                <w:iCs/>
              </w:rPr>
              <w:t>Manor Fi</w:t>
            </w:r>
            <w:r>
              <w:rPr>
                <w:iCs/>
              </w:rPr>
              <w:t>eld Infant and Nursery School is situated in the town of Long Stratton based in South Norfolk.</w:t>
            </w:r>
            <w:r w:rsidR="00F74EA1">
              <w:rPr>
                <w:iCs/>
              </w:rPr>
              <w:t xml:space="preserve"> Manor Field has </w:t>
            </w:r>
            <w:proofErr w:type="gramStart"/>
            <w:r w:rsidR="00F74EA1">
              <w:rPr>
                <w:iCs/>
              </w:rPr>
              <w:t>a</w:t>
            </w:r>
            <w:proofErr w:type="gramEnd"/>
            <w:r w:rsidR="00F74EA1">
              <w:rPr>
                <w:iCs/>
              </w:rPr>
              <w:t xml:space="preserve"> 8 place </w:t>
            </w:r>
            <w:r w:rsidR="00E907D1">
              <w:rPr>
                <w:iCs/>
              </w:rPr>
              <w:t xml:space="preserve">SEMH </w:t>
            </w:r>
            <w:r w:rsidR="00F74EA1">
              <w:rPr>
                <w:iCs/>
              </w:rPr>
              <w:t>Specialist Resource Base on site</w:t>
            </w:r>
            <w:r w:rsidR="00E907D1">
              <w:rPr>
                <w:iCs/>
              </w:rPr>
              <w:t xml:space="preserve"> for Norfolk KS1 pupils</w:t>
            </w:r>
            <w:r w:rsidR="00F74EA1">
              <w:rPr>
                <w:iCs/>
              </w:rPr>
              <w:t>.</w:t>
            </w:r>
          </w:p>
          <w:p w14:paraId="607C738B" w14:textId="02B54D00" w:rsidR="0013505B" w:rsidRDefault="00416267" w:rsidP="0013505B">
            <w:pPr>
              <w:rPr>
                <w:iCs/>
              </w:rPr>
            </w:pPr>
            <w:r>
              <w:rPr>
                <w:iCs/>
              </w:rPr>
              <w:t>17</w:t>
            </w:r>
            <w:r w:rsidR="0013505B">
              <w:rPr>
                <w:iCs/>
              </w:rPr>
              <w:t xml:space="preserve">% of pupils are eligible for pupil premium grant and 8% of pupils are classed as English as a Second Language. </w:t>
            </w:r>
          </w:p>
          <w:p w14:paraId="28C98812" w14:textId="7B45C571" w:rsidR="0013505B" w:rsidRDefault="0013505B" w:rsidP="0013505B">
            <w:pPr>
              <w:spacing w:before="120"/>
            </w:pPr>
            <w:r>
              <w:t xml:space="preserve">We intend that every pupil in the school should have access to good quality teaching and learning to ensure that they make good progress and achieve a good standard of attainment regardless of their backgrounds and the challenges that they may face. Our pupil premium policy enables us </w:t>
            </w:r>
            <w:r w:rsidR="004967DB">
              <w:t>to support</w:t>
            </w:r>
            <w:r>
              <w:t xml:space="preserve"> these children who may be disadvantaged including those who may be high attainers.</w:t>
            </w:r>
          </w:p>
          <w:p w14:paraId="5675DDAC" w14:textId="77777777" w:rsidR="0013505B" w:rsidRDefault="0013505B" w:rsidP="0013505B">
            <w:pPr>
              <w:spacing w:before="120"/>
            </w:pPr>
            <w:r>
              <w:t>We also embrace the challenges facing other children who may be classed as vulnerable but not fall under the umbrella of ‘disadvantaged’.</w:t>
            </w:r>
          </w:p>
          <w:p w14:paraId="02C6061A" w14:textId="378649B2" w:rsidR="0013505B" w:rsidRDefault="0013505B" w:rsidP="0013505B">
            <w:pPr>
              <w:spacing w:before="120"/>
            </w:pPr>
            <w:r>
              <w:t xml:space="preserve">Manor Field Infant and Nursery School </w:t>
            </w:r>
            <w:r w:rsidRPr="007443F5">
              <w:t xml:space="preserve">uses a tiered approach to Pupil Premium Spending to improve teaching, targeted academic support and wider strategies. </w:t>
            </w:r>
            <w:r>
              <w:t>Our ultimate objective is</w:t>
            </w:r>
            <w:r w:rsidRPr="007443F5">
              <w:t xml:space="preserve"> to close the gaps between disadvantaged pupils and their peers. </w:t>
            </w:r>
            <w:r>
              <w:t xml:space="preserve">To enable us to achieve this we aim to employ staff who can deliver a </w:t>
            </w:r>
            <w:r w:rsidR="004967DB">
              <w:t>high-quality</w:t>
            </w:r>
            <w:r>
              <w:t xml:space="preserve"> curriculum to our pupils, staff who actively seek out ways of improving their skills by networking and sharing best practises with other professionals, by keeping current with new thinking and proven strategies and are willing to share their knowledge. We will support our staff in any way we can to achieve this aim. Our strategy is not a ‘one size fits all approach’ but one that will </w:t>
            </w:r>
            <w:r w:rsidR="004967DB">
              <w:t>consider</w:t>
            </w:r>
            <w:r>
              <w:t xml:space="preserve"> the individual’s needs and challenges that they face and will be rigorously assessed to ensure it is effective.</w:t>
            </w:r>
          </w:p>
          <w:p w14:paraId="01E4B52B" w14:textId="77777777" w:rsidR="0013505B" w:rsidRDefault="0013505B" w:rsidP="0013505B">
            <w:pPr>
              <w:spacing w:before="120"/>
            </w:pPr>
            <w:r>
              <w:t>Measurements for effectiveness can be, but not solely judged on</w:t>
            </w:r>
          </w:p>
          <w:p w14:paraId="3E06DC0F" w14:textId="77777777" w:rsidR="0013505B" w:rsidRDefault="0013505B" w:rsidP="0013505B">
            <w:pPr>
              <w:pStyle w:val="ListParagraph"/>
              <w:numPr>
                <w:ilvl w:val="0"/>
                <w:numId w:val="15"/>
              </w:numPr>
              <w:spacing w:before="120"/>
            </w:pPr>
            <w:r>
              <w:t>Challenge in work set</w:t>
            </w:r>
          </w:p>
          <w:p w14:paraId="28350715" w14:textId="77777777" w:rsidR="0013505B" w:rsidRDefault="0013505B" w:rsidP="0013505B">
            <w:pPr>
              <w:pStyle w:val="ListParagraph"/>
              <w:numPr>
                <w:ilvl w:val="0"/>
                <w:numId w:val="15"/>
              </w:numPr>
              <w:spacing w:before="120"/>
            </w:pPr>
            <w:r>
              <w:t>Early intervention when a need is identified</w:t>
            </w:r>
          </w:p>
          <w:p w14:paraId="155D8873" w14:textId="77777777" w:rsidR="0013505B" w:rsidRDefault="0013505B" w:rsidP="0013505B">
            <w:pPr>
              <w:pStyle w:val="ListParagraph"/>
              <w:numPr>
                <w:ilvl w:val="0"/>
                <w:numId w:val="15"/>
              </w:numPr>
              <w:spacing w:before="120"/>
            </w:pPr>
            <w:r>
              <w:t>All staff actively pursue the best outcomes for all pupils</w:t>
            </w:r>
          </w:p>
          <w:p w14:paraId="404852C2" w14:textId="77777777" w:rsidR="0013505B" w:rsidRDefault="0013505B" w:rsidP="0013505B">
            <w:pPr>
              <w:spacing w:before="120"/>
            </w:pPr>
            <w:r>
              <w:t>We recognise that there are many areas that need focusing on however we have chosen four areas of priority in the first instance to give us a best chance for success. These areas will be regularly reviewed and added to or amended as necessary.</w:t>
            </w:r>
          </w:p>
          <w:p w14:paraId="29CCA784" w14:textId="77777777" w:rsidR="0013505B" w:rsidRDefault="0013505B" w:rsidP="0013505B">
            <w:pPr>
              <w:rPr>
                <w:iCs/>
              </w:rPr>
            </w:pPr>
          </w:p>
          <w:p w14:paraId="2A7D54E9" w14:textId="6F40F38F" w:rsidR="0013505B" w:rsidRPr="0013505B" w:rsidRDefault="0013505B" w:rsidP="0013505B">
            <w:pPr>
              <w:rPr>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C987" w14:textId="77777777" w:rsidR="00A54E9C" w:rsidRPr="005A53A4" w:rsidRDefault="00761270" w:rsidP="00A54E9C">
            <w:pPr>
              <w:pStyle w:val="TableRowCentered"/>
              <w:jc w:val="left"/>
              <w:rPr>
                <w:b/>
                <w:bCs/>
                <w:sz w:val="22"/>
                <w:szCs w:val="22"/>
              </w:rPr>
            </w:pPr>
            <w:r w:rsidRPr="005A53A4">
              <w:rPr>
                <w:b/>
                <w:bCs/>
                <w:sz w:val="22"/>
                <w:szCs w:val="22"/>
              </w:rPr>
              <w:t xml:space="preserve">Social, </w:t>
            </w:r>
            <w:r w:rsidR="008C0C57" w:rsidRPr="005A53A4">
              <w:rPr>
                <w:b/>
                <w:bCs/>
                <w:sz w:val="22"/>
                <w:szCs w:val="22"/>
              </w:rPr>
              <w:t>Emotional</w:t>
            </w:r>
            <w:r w:rsidRPr="005A53A4">
              <w:rPr>
                <w:b/>
                <w:bCs/>
                <w:sz w:val="22"/>
                <w:szCs w:val="22"/>
              </w:rPr>
              <w:t xml:space="preserve"> &amp; Communication</w:t>
            </w:r>
            <w:r w:rsidR="008C0C57" w:rsidRPr="005A53A4">
              <w:rPr>
                <w:b/>
                <w:bCs/>
                <w:sz w:val="22"/>
                <w:szCs w:val="22"/>
              </w:rPr>
              <w:t xml:space="preserve"> </w:t>
            </w:r>
            <w:r w:rsidR="00A54E9C" w:rsidRPr="005A53A4">
              <w:rPr>
                <w:b/>
                <w:bCs/>
                <w:sz w:val="22"/>
                <w:szCs w:val="22"/>
              </w:rPr>
              <w:t>Needs</w:t>
            </w:r>
          </w:p>
          <w:p w14:paraId="2A0C857A" w14:textId="77777777" w:rsidR="00F74EA1" w:rsidRDefault="001F1E74" w:rsidP="00F74EA1">
            <w:pPr>
              <w:pStyle w:val="TableRowCentered"/>
              <w:jc w:val="left"/>
              <w:rPr>
                <w:sz w:val="22"/>
                <w:szCs w:val="22"/>
              </w:rPr>
            </w:pPr>
            <w:r>
              <w:rPr>
                <w:sz w:val="22"/>
                <w:szCs w:val="22"/>
              </w:rPr>
              <w:t xml:space="preserve">With a changing society and changing family dynamics and ways of life, we have recognised an increasing </w:t>
            </w:r>
            <w:r w:rsidR="00713741">
              <w:rPr>
                <w:sz w:val="22"/>
                <w:szCs w:val="22"/>
              </w:rPr>
              <w:t xml:space="preserve">rise in the SEMH needs of children entering our school. Some of this we can attribute to the period of lock down and restricted way of life during the Covid 19 pandemic. </w:t>
            </w:r>
          </w:p>
          <w:p w14:paraId="2A7D54F1" w14:textId="48019FFE" w:rsidR="00BA2670" w:rsidRPr="00F74EA1" w:rsidRDefault="00BA2670" w:rsidP="00F74EA1">
            <w:pPr>
              <w:pStyle w:val="TableRowCentered"/>
              <w:jc w:val="left"/>
              <w:rPr>
                <w:sz w:val="22"/>
                <w:szCs w:val="22"/>
              </w:rPr>
            </w:pPr>
            <w:r>
              <w:rPr>
                <w:sz w:val="22"/>
                <w:szCs w:val="22"/>
              </w:rPr>
              <w:t>Some children’s SEMH needs are a barrier to their effective learning</w:t>
            </w:r>
            <w:r w:rsidR="00AD08A2">
              <w:rPr>
                <w:sz w:val="22"/>
                <w:szCs w:val="22"/>
              </w:rPr>
              <w:t>.</w:t>
            </w:r>
            <w:r w:rsidR="00E22CEF">
              <w:rPr>
                <w:sz w:val="22"/>
                <w:szCs w:val="22"/>
              </w:rPr>
              <w:t xml:space="preserve"> </w:t>
            </w:r>
            <w:r w:rsidR="00AD08A2">
              <w:rPr>
                <w:sz w:val="22"/>
                <w:szCs w:val="22"/>
              </w:rPr>
              <w:t>We have developed early detection of need, inhouse therapeutic interventions</w:t>
            </w:r>
            <w:r w:rsidR="00141A36">
              <w:rPr>
                <w:sz w:val="22"/>
                <w:szCs w:val="22"/>
              </w:rPr>
              <w:t xml:space="preserve">, partnerships with the following Local Authority teams – Inclusion and SEND, Family and Communities and Mental Health Support.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722D" w14:textId="688D5C5A" w:rsidR="00E66558" w:rsidRPr="005A53A4" w:rsidRDefault="00761270">
            <w:pPr>
              <w:pStyle w:val="TableRowCentered"/>
              <w:jc w:val="left"/>
              <w:rPr>
                <w:b/>
                <w:bCs/>
                <w:sz w:val="22"/>
                <w:szCs w:val="22"/>
              </w:rPr>
            </w:pPr>
            <w:r w:rsidRPr="005A53A4">
              <w:rPr>
                <w:b/>
                <w:bCs/>
                <w:sz w:val="22"/>
                <w:szCs w:val="22"/>
              </w:rPr>
              <w:t>Under achieving in Reading (</w:t>
            </w:r>
            <w:proofErr w:type="spellStart"/>
            <w:r w:rsidRPr="005A53A4">
              <w:rPr>
                <w:b/>
                <w:bCs/>
                <w:sz w:val="22"/>
                <w:szCs w:val="22"/>
              </w:rPr>
              <w:t>inc</w:t>
            </w:r>
            <w:proofErr w:type="spellEnd"/>
            <w:r w:rsidRPr="005A53A4">
              <w:rPr>
                <w:b/>
                <w:bCs/>
                <w:sz w:val="22"/>
                <w:szCs w:val="22"/>
              </w:rPr>
              <w:t xml:space="preserve"> Phonics), Writing </w:t>
            </w:r>
            <w:r w:rsidR="00E22CEF" w:rsidRPr="005A53A4">
              <w:rPr>
                <w:b/>
                <w:bCs/>
                <w:sz w:val="22"/>
                <w:szCs w:val="22"/>
              </w:rPr>
              <w:t>and Mathematics</w:t>
            </w:r>
          </w:p>
          <w:p w14:paraId="5CEE827C" w14:textId="77777777" w:rsidR="00F74EA1" w:rsidRPr="00F74EA1" w:rsidRDefault="00F74EA1" w:rsidP="00F74EA1">
            <w:pPr>
              <w:pStyle w:val="TableRowCentered"/>
              <w:jc w:val="left"/>
              <w:rPr>
                <w:sz w:val="22"/>
                <w:szCs w:val="22"/>
              </w:rPr>
            </w:pPr>
            <w:r w:rsidRPr="00F74EA1">
              <w:rPr>
                <w:sz w:val="22"/>
                <w:szCs w:val="22"/>
              </w:rPr>
              <w:t>Assessments, observations with parents and children indicate gaps in many children’s understanding and knowledge not just pertaining to disadvantaged/vulnerable pupils.</w:t>
            </w:r>
          </w:p>
          <w:p w14:paraId="2A7D54F4" w14:textId="6C2150C0" w:rsidR="00F74EA1" w:rsidRPr="00F74EA1" w:rsidRDefault="00F74EA1" w:rsidP="00F74EA1">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9FA8B" w14:textId="7AF9C65F" w:rsidR="00E66558" w:rsidRPr="005A53A4" w:rsidRDefault="00F74EA1">
            <w:pPr>
              <w:pStyle w:val="TableRowCentered"/>
              <w:jc w:val="left"/>
              <w:rPr>
                <w:b/>
                <w:bCs/>
                <w:iCs/>
                <w:sz w:val="22"/>
                <w:szCs w:val="22"/>
              </w:rPr>
            </w:pPr>
            <w:r w:rsidRPr="005A53A4">
              <w:rPr>
                <w:b/>
                <w:bCs/>
                <w:iCs/>
                <w:sz w:val="22"/>
                <w:szCs w:val="22"/>
              </w:rPr>
              <w:t xml:space="preserve">Cultural Capital - </w:t>
            </w:r>
            <w:r w:rsidR="00761270" w:rsidRPr="005A53A4">
              <w:rPr>
                <w:b/>
                <w:bCs/>
                <w:iCs/>
                <w:sz w:val="22"/>
                <w:szCs w:val="22"/>
              </w:rPr>
              <w:t xml:space="preserve">Lack of enrichment, experiences and </w:t>
            </w:r>
            <w:r w:rsidR="002B3989" w:rsidRPr="00DA6F02">
              <w:rPr>
                <w:b/>
                <w:bCs/>
                <w:iCs/>
                <w:szCs w:val="24"/>
              </w:rPr>
              <w:t xml:space="preserve">economic/cultural </w:t>
            </w:r>
            <w:r w:rsidR="00761270" w:rsidRPr="005A53A4">
              <w:rPr>
                <w:b/>
                <w:bCs/>
                <w:iCs/>
                <w:sz w:val="22"/>
                <w:szCs w:val="22"/>
              </w:rPr>
              <w:t>opportunities</w:t>
            </w:r>
          </w:p>
          <w:p w14:paraId="78437E2A" w14:textId="5A75BA03" w:rsidR="00F74EA1" w:rsidRPr="00F74EA1" w:rsidRDefault="005E70EA">
            <w:pPr>
              <w:pStyle w:val="TableRowCentered"/>
              <w:jc w:val="left"/>
              <w:rPr>
                <w:iCs/>
                <w:sz w:val="22"/>
                <w:szCs w:val="22"/>
              </w:rPr>
            </w:pPr>
            <w:r>
              <w:rPr>
                <w:iCs/>
                <w:sz w:val="22"/>
                <w:szCs w:val="22"/>
              </w:rPr>
              <w:t>Disadvantaged c</w:t>
            </w:r>
            <w:r w:rsidR="00F74EA1" w:rsidRPr="00F74EA1">
              <w:rPr>
                <w:iCs/>
                <w:sz w:val="22"/>
                <w:szCs w:val="22"/>
              </w:rPr>
              <w:t xml:space="preserve">hildren </w:t>
            </w:r>
            <w:r>
              <w:rPr>
                <w:iCs/>
                <w:sz w:val="22"/>
                <w:szCs w:val="22"/>
              </w:rPr>
              <w:t xml:space="preserve">may not have </w:t>
            </w:r>
            <w:r w:rsidR="00F74EA1" w:rsidRPr="00F74EA1">
              <w:rPr>
                <w:iCs/>
                <w:sz w:val="22"/>
                <w:szCs w:val="22"/>
              </w:rPr>
              <w:t>access wider community projects</w:t>
            </w:r>
            <w:r>
              <w:rPr>
                <w:iCs/>
                <w:sz w:val="22"/>
                <w:szCs w:val="22"/>
              </w:rPr>
              <w:t xml:space="preserve"> and </w:t>
            </w:r>
            <w:r w:rsidR="00185808">
              <w:rPr>
                <w:iCs/>
                <w:sz w:val="22"/>
                <w:szCs w:val="22"/>
              </w:rPr>
              <w:t xml:space="preserve">clubs, hindering social interactions and community cohesion. </w:t>
            </w:r>
            <w:r w:rsidR="004942B2">
              <w:rPr>
                <w:iCs/>
                <w:sz w:val="22"/>
                <w:szCs w:val="22"/>
              </w:rPr>
              <w:t>Lack of opportunity means a lack of e</w:t>
            </w:r>
            <w:r w:rsidR="00F74EA1" w:rsidRPr="00F74EA1">
              <w:rPr>
                <w:iCs/>
                <w:sz w:val="22"/>
                <w:szCs w:val="22"/>
              </w:rPr>
              <w:t>nrichment in their lives</w:t>
            </w:r>
            <w:r w:rsidR="004942B2">
              <w:rPr>
                <w:iCs/>
                <w:sz w:val="22"/>
                <w:szCs w:val="22"/>
              </w:rPr>
              <w:t>.</w:t>
            </w:r>
          </w:p>
          <w:p w14:paraId="2A7D54F7" w14:textId="447172B2" w:rsidR="00F74EA1" w:rsidRPr="00F74EA1" w:rsidRDefault="00F74EA1">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F01EBD0"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10CD" w14:textId="77777777" w:rsidR="00E66558" w:rsidRPr="005A53A4" w:rsidRDefault="00761270">
            <w:pPr>
              <w:pStyle w:val="TableRowCentered"/>
              <w:jc w:val="left"/>
              <w:rPr>
                <w:b/>
                <w:bCs/>
                <w:iCs/>
                <w:sz w:val="22"/>
                <w:szCs w:val="22"/>
              </w:rPr>
            </w:pPr>
            <w:r w:rsidRPr="005A53A4">
              <w:rPr>
                <w:b/>
                <w:bCs/>
                <w:iCs/>
                <w:sz w:val="22"/>
                <w:szCs w:val="22"/>
              </w:rPr>
              <w:t>Attendance</w:t>
            </w:r>
          </w:p>
          <w:p w14:paraId="64D470FB" w14:textId="38F4A51D" w:rsidR="00F74EA1" w:rsidRPr="00F74EA1" w:rsidRDefault="00F74EA1" w:rsidP="00F74EA1">
            <w:pPr>
              <w:pStyle w:val="TableRowCentered"/>
              <w:jc w:val="left"/>
              <w:rPr>
                <w:sz w:val="22"/>
                <w:szCs w:val="22"/>
              </w:rPr>
            </w:pPr>
            <w:r w:rsidRPr="00F74EA1">
              <w:rPr>
                <w:sz w:val="22"/>
                <w:szCs w:val="22"/>
              </w:rPr>
              <w:t>Our attendance data over the last year shows attendance for the disadvantaged pupils has been</w:t>
            </w:r>
            <w:r w:rsidR="00DE3B91">
              <w:rPr>
                <w:sz w:val="22"/>
                <w:szCs w:val="22"/>
              </w:rPr>
              <w:t xml:space="preserve"> 93.</w:t>
            </w:r>
            <w:r w:rsidR="00C47273">
              <w:rPr>
                <w:sz w:val="22"/>
                <w:szCs w:val="22"/>
              </w:rPr>
              <w:t>72</w:t>
            </w:r>
            <w:r w:rsidR="00C47273" w:rsidRPr="00F74EA1">
              <w:rPr>
                <w:sz w:val="22"/>
                <w:szCs w:val="22"/>
              </w:rPr>
              <w:t>% lower</w:t>
            </w:r>
            <w:r w:rsidRPr="00F74EA1">
              <w:rPr>
                <w:sz w:val="22"/>
                <w:szCs w:val="22"/>
              </w:rPr>
              <w:t xml:space="preserve"> than non-disadvantaged</w:t>
            </w:r>
          </w:p>
          <w:p w14:paraId="2A7D54FA" w14:textId="74557D6B" w:rsidR="00F74EA1" w:rsidRPr="00F74EA1" w:rsidRDefault="00C47273" w:rsidP="00F74EA1">
            <w:pPr>
              <w:pStyle w:val="TableRowCentered"/>
              <w:jc w:val="left"/>
              <w:rPr>
                <w:iCs/>
                <w:sz w:val="22"/>
                <w:szCs w:val="22"/>
              </w:rPr>
            </w:pPr>
            <w:r>
              <w:rPr>
                <w:sz w:val="22"/>
                <w:szCs w:val="22"/>
              </w:rPr>
              <w:t>96</w:t>
            </w:r>
            <w:r w:rsidR="000158D5">
              <w:rPr>
                <w:sz w:val="22"/>
                <w:szCs w:val="22"/>
              </w:rPr>
              <w:t>.10% Persistent absent</w:t>
            </w:r>
            <w:r w:rsidR="00F74EA1" w:rsidRPr="00F74EA1">
              <w:rPr>
                <w:sz w:val="22"/>
                <w:szCs w:val="22"/>
              </w:rPr>
              <w:t>eeism negatively impacts a child’s learning and therefore progress.</w:t>
            </w:r>
            <w:r w:rsidR="000158D5">
              <w:rPr>
                <w:sz w:val="22"/>
                <w:szCs w:val="22"/>
              </w:rPr>
              <w:t xml:space="preserve"> It also </w:t>
            </w:r>
            <w:r w:rsidR="00332C25">
              <w:rPr>
                <w:sz w:val="22"/>
                <w:szCs w:val="22"/>
              </w:rPr>
              <w:t xml:space="preserve">impacts their </w:t>
            </w:r>
            <w:r w:rsidR="005A53A4">
              <w:rPr>
                <w:sz w:val="22"/>
                <w:szCs w:val="22"/>
              </w:rPr>
              <w:t>self-confidence</w:t>
            </w:r>
            <w:r w:rsidR="00332C25">
              <w:rPr>
                <w:sz w:val="22"/>
                <w:szCs w:val="22"/>
              </w:rPr>
              <w:t xml:space="preserve">, if </w:t>
            </w:r>
            <w:r w:rsidR="005A53A4">
              <w:rPr>
                <w:sz w:val="22"/>
                <w:szCs w:val="22"/>
              </w:rPr>
              <w:t>persistently late.</w:t>
            </w:r>
            <w:r w:rsidR="00332C25">
              <w:rPr>
                <w:sz w:val="22"/>
                <w:szCs w:val="22"/>
              </w:rPr>
              <w:t xml:space="preserve"> </w:t>
            </w:r>
          </w:p>
        </w:tc>
      </w:tr>
    </w:tbl>
    <w:p w14:paraId="2A7D54FF" w14:textId="77777777" w:rsidR="00E66558" w:rsidRDefault="009D71E8">
      <w:pPr>
        <w:pStyle w:val="Heading2"/>
        <w:spacing w:before="600"/>
      </w:pPr>
      <w:bookmarkStart w:id="14"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A4CF3" w14:textId="77777777" w:rsidR="00F74EA1" w:rsidRDefault="00F74EA1" w:rsidP="002E66A0">
            <w:pPr>
              <w:pStyle w:val="TableRow"/>
              <w:numPr>
                <w:ilvl w:val="0"/>
                <w:numId w:val="21"/>
              </w:numPr>
              <w:rPr>
                <w:sz w:val="22"/>
                <w:szCs w:val="22"/>
              </w:rPr>
            </w:pPr>
            <w:r w:rsidRPr="00D23F2A">
              <w:rPr>
                <w:sz w:val="22"/>
                <w:szCs w:val="22"/>
              </w:rPr>
              <w:t>T</w:t>
            </w:r>
            <w:r>
              <w:rPr>
                <w:sz w:val="22"/>
                <w:szCs w:val="22"/>
              </w:rPr>
              <w:t>o</w:t>
            </w:r>
            <w:r w:rsidRPr="00D23F2A">
              <w:rPr>
                <w:sz w:val="22"/>
                <w:szCs w:val="22"/>
              </w:rPr>
              <w:t xml:space="preserve"> improve attainment in reading, writing and maths</w:t>
            </w:r>
          </w:p>
          <w:p w14:paraId="2A7D5504" w14:textId="6AA63ACA" w:rsidR="00E66558" w:rsidRPr="00A54E9C"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AF30FD6" w:rsidR="00025B40" w:rsidRDefault="00E2390C">
            <w:pPr>
              <w:pStyle w:val="TableRowCentered"/>
              <w:jc w:val="left"/>
              <w:rPr>
                <w:sz w:val="22"/>
                <w:szCs w:val="22"/>
              </w:rPr>
            </w:pPr>
            <w:r>
              <w:rPr>
                <w:sz w:val="22"/>
                <w:szCs w:val="22"/>
              </w:rPr>
              <w:t xml:space="preserve">Performance outcomes for disadvantaged children will be on par with school non disadvantaged pupils. </w:t>
            </w:r>
            <w:r w:rsidR="00074FCE">
              <w:rPr>
                <w:sz w:val="22"/>
                <w:szCs w:val="22"/>
              </w:rPr>
              <w:t xml:space="preserve">If a disadvantaged child is achieving below age related expectations, </w:t>
            </w:r>
            <w:r w:rsidR="00A554E4">
              <w:rPr>
                <w:sz w:val="22"/>
                <w:szCs w:val="22"/>
              </w:rPr>
              <w:t xml:space="preserve">there will be early </w:t>
            </w:r>
            <w:r w:rsidR="00085F9C">
              <w:rPr>
                <w:sz w:val="22"/>
                <w:szCs w:val="22"/>
              </w:rPr>
              <w:t>detection,</w:t>
            </w:r>
            <w:r w:rsidR="00A554E4">
              <w:rPr>
                <w:sz w:val="22"/>
                <w:szCs w:val="22"/>
              </w:rPr>
              <w:t xml:space="preserve"> and the relevant interventions put in place.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93FEBBC" w:rsidR="00E66558" w:rsidRDefault="00F74EA1" w:rsidP="002E66A0">
            <w:pPr>
              <w:pStyle w:val="TableRow"/>
              <w:numPr>
                <w:ilvl w:val="0"/>
                <w:numId w:val="21"/>
              </w:numPr>
              <w:rPr>
                <w:sz w:val="22"/>
                <w:szCs w:val="22"/>
              </w:rPr>
            </w:pPr>
            <w:r>
              <w:rPr>
                <w:sz w:val="22"/>
                <w:szCs w:val="22"/>
              </w:rPr>
              <w:t xml:space="preserve">Sustained improvement in </w:t>
            </w:r>
            <w:r w:rsidR="00D45A21">
              <w:rPr>
                <w:sz w:val="22"/>
                <w:szCs w:val="22"/>
              </w:rPr>
              <w:t xml:space="preserve">the </w:t>
            </w:r>
            <w:r>
              <w:rPr>
                <w:sz w:val="22"/>
                <w:szCs w:val="22"/>
              </w:rPr>
              <w:t>wellbeing of pupils in school through ability to control/understand triggers leading to social, emotional or mental health episodes</w:t>
            </w:r>
            <w:r w:rsidR="00D45A21">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0693" w14:textId="77777777" w:rsidR="00025B40" w:rsidRDefault="00D45A21" w:rsidP="00D74581">
            <w:pPr>
              <w:pStyle w:val="TableRowCentered"/>
              <w:jc w:val="left"/>
              <w:rPr>
                <w:sz w:val="22"/>
                <w:szCs w:val="22"/>
              </w:rPr>
            </w:pPr>
            <w:r>
              <w:rPr>
                <w:sz w:val="22"/>
                <w:szCs w:val="22"/>
              </w:rPr>
              <w:t>Disadvantaged children with SEMH needs will be identified early</w:t>
            </w:r>
            <w:r w:rsidR="0099339A">
              <w:rPr>
                <w:sz w:val="22"/>
                <w:szCs w:val="22"/>
              </w:rPr>
              <w:t xml:space="preserve">. An appropriate Therapeutic intervention will be put in place, in agreement with the child’s parent(s). </w:t>
            </w:r>
          </w:p>
          <w:p w14:paraId="296D9CB4" w14:textId="77777777" w:rsidR="0099339A" w:rsidRDefault="00D07432" w:rsidP="00D74581">
            <w:pPr>
              <w:pStyle w:val="TableRowCentered"/>
              <w:jc w:val="left"/>
              <w:rPr>
                <w:sz w:val="22"/>
                <w:szCs w:val="22"/>
              </w:rPr>
            </w:pPr>
            <w:r>
              <w:rPr>
                <w:sz w:val="22"/>
                <w:szCs w:val="22"/>
              </w:rPr>
              <w:t xml:space="preserve">The Boxall Profile score </w:t>
            </w:r>
            <w:r w:rsidR="00B95275">
              <w:rPr>
                <w:sz w:val="22"/>
                <w:szCs w:val="22"/>
              </w:rPr>
              <w:t>and SDQ scores will show</w:t>
            </w:r>
            <w:r w:rsidR="002104FC">
              <w:rPr>
                <w:sz w:val="22"/>
                <w:szCs w:val="22"/>
              </w:rPr>
              <w:t xml:space="preserve"> an improvement </w:t>
            </w:r>
            <w:r w:rsidR="00B95275">
              <w:rPr>
                <w:sz w:val="22"/>
                <w:szCs w:val="22"/>
              </w:rPr>
              <w:t>from entry to exit</w:t>
            </w:r>
            <w:r w:rsidR="002104FC">
              <w:rPr>
                <w:sz w:val="22"/>
                <w:szCs w:val="22"/>
              </w:rPr>
              <w:t xml:space="preserve">. </w:t>
            </w:r>
          </w:p>
          <w:p w14:paraId="2A7D5508" w14:textId="5F5F2743" w:rsidR="00D64993" w:rsidRDefault="00D64993" w:rsidP="00D74581">
            <w:pPr>
              <w:pStyle w:val="TableRowCentered"/>
              <w:jc w:val="left"/>
              <w:rPr>
                <w:sz w:val="22"/>
                <w:szCs w:val="22"/>
              </w:rPr>
            </w:pPr>
            <w:r>
              <w:rPr>
                <w:sz w:val="22"/>
                <w:szCs w:val="22"/>
              </w:rPr>
              <w:t>Behaviour incidents for disadvantaged pupils will have been resolved</w:t>
            </w:r>
            <w:r w:rsidR="00085F9C">
              <w:rPr>
                <w:sz w:val="22"/>
                <w:szCs w:val="22"/>
              </w:rPr>
              <w:t xml:space="preserve"> and reduced.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57092B3" w:rsidR="00E66558" w:rsidRDefault="00F74EA1" w:rsidP="002E66A0">
            <w:pPr>
              <w:pStyle w:val="TableRow"/>
              <w:numPr>
                <w:ilvl w:val="0"/>
                <w:numId w:val="21"/>
              </w:numPr>
              <w:rPr>
                <w:sz w:val="22"/>
                <w:szCs w:val="22"/>
              </w:rPr>
            </w:pPr>
            <w:r>
              <w:rPr>
                <w:sz w:val="22"/>
                <w:szCs w:val="22"/>
              </w:rPr>
              <w:t>To increase and sustain improvement in attendance of all pupils in our school but particularly disadvantaged and vulnerable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3A9B" w14:textId="29B32989" w:rsidR="00F74EA1" w:rsidRDefault="00F74EA1" w:rsidP="00F74EA1">
            <w:pPr>
              <w:pStyle w:val="TableRowCentered"/>
              <w:jc w:val="left"/>
              <w:rPr>
                <w:sz w:val="22"/>
                <w:szCs w:val="22"/>
              </w:rPr>
            </w:pPr>
            <w:r>
              <w:rPr>
                <w:sz w:val="22"/>
                <w:szCs w:val="22"/>
              </w:rPr>
              <w:t xml:space="preserve">Sustained improvement in absence rates </w:t>
            </w:r>
          </w:p>
          <w:p w14:paraId="675E30A3" w14:textId="77777777" w:rsidR="00F74EA1" w:rsidRDefault="00F74EA1" w:rsidP="00F74EA1">
            <w:pPr>
              <w:pStyle w:val="TableRowCentered"/>
              <w:jc w:val="left"/>
              <w:rPr>
                <w:sz w:val="22"/>
                <w:szCs w:val="22"/>
              </w:rPr>
            </w:pPr>
            <w:r>
              <w:rPr>
                <w:sz w:val="22"/>
                <w:szCs w:val="22"/>
              </w:rPr>
              <w:t xml:space="preserve">Evidence by </w:t>
            </w:r>
          </w:p>
          <w:p w14:paraId="237CBF5F" w14:textId="77777777" w:rsidR="00F74EA1" w:rsidRDefault="00F74EA1" w:rsidP="00F74EA1">
            <w:pPr>
              <w:pStyle w:val="TableRowCentered"/>
              <w:numPr>
                <w:ilvl w:val="0"/>
                <w:numId w:val="17"/>
              </w:numPr>
              <w:jc w:val="left"/>
              <w:rPr>
                <w:sz w:val="22"/>
                <w:szCs w:val="22"/>
              </w:rPr>
            </w:pPr>
            <w:r>
              <w:rPr>
                <w:sz w:val="22"/>
                <w:szCs w:val="22"/>
              </w:rPr>
              <w:t>Correlation to national data and previous school data of overall absence data of all pupils</w:t>
            </w:r>
          </w:p>
          <w:p w14:paraId="03C67768" w14:textId="77777777" w:rsidR="00F74EA1" w:rsidRDefault="00F74EA1" w:rsidP="00F74EA1">
            <w:pPr>
              <w:pStyle w:val="TableRowCentered"/>
              <w:numPr>
                <w:ilvl w:val="0"/>
                <w:numId w:val="17"/>
              </w:numPr>
              <w:jc w:val="left"/>
              <w:rPr>
                <w:sz w:val="22"/>
                <w:szCs w:val="22"/>
              </w:rPr>
            </w:pPr>
            <w:r>
              <w:rPr>
                <w:sz w:val="22"/>
                <w:szCs w:val="22"/>
              </w:rPr>
              <w:t>Attendance gap of disadvantaged and non-disadvantaged peers reduced</w:t>
            </w:r>
          </w:p>
          <w:p w14:paraId="2A7D550B" w14:textId="6FDF86BA" w:rsidR="00025B40" w:rsidRDefault="00F74EA1" w:rsidP="00F74EA1">
            <w:pPr>
              <w:pStyle w:val="TableRowCentered"/>
              <w:numPr>
                <w:ilvl w:val="0"/>
                <w:numId w:val="17"/>
              </w:numPr>
              <w:jc w:val="left"/>
              <w:rPr>
                <w:sz w:val="22"/>
                <w:szCs w:val="22"/>
              </w:rPr>
            </w:pPr>
            <w:r>
              <w:rPr>
                <w:sz w:val="22"/>
                <w:szCs w:val="22"/>
              </w:rPr>
              <w:t>Percentage of all pupils persistently absence reduced and figure of disadvantaged pupils persistently absence reduced</w:t>
            </w:r>
            <w:r w:rsidR="00025B40">
              <w:rPr>
                <w:sz w:val="22"/>
                <w:szCs w:val="22"/>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8BE2387" w:rsidR="00E66558" w:rsidRDefault="00761270" w:rsidP="002E66A0">
            <w:pPr>
              <w:pStyle w:val="TableRow"/>
              <w:numPr>
                <w:ilvl w:val="0"/>
                <w:numId w:val="21"/>
              </w:numPr>
              <w:rPr>
                <w:sz w:val="22"/>
                <w:szCs w:val="22"/>
              </w:rPr>
            </w:pPr>
            <w:r>
              <w:rPr>
                <w:sz w:val="22"/>
                <w:szCs w:val="22"/>
              </w:rPr>
              <w:t>Give disadvantaged children opportunities and experiences – cultural and aspirational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43A9" w14:textId="77777777" w:rsidR="00F74EA1" w:rsidRDefault="00F74EA1" w:rsidP="00F74EA1">
            <w:pPr>
              <w:pStyle w:val="TableRowCentered"/>
              <w:jc w:val="left"/>
              <w:rPr>
                <w:sz w:val="22"/>
                <w:szCs w:val="22"/>
              </w:rPr>
            </w:pPr>
            <w:r>
              <w:rPr>
                <w:sz w:val="22"/>
                <w:szCs w:val="22"/>
              </w:rPr>
              <w:t>Demonstrated by the enrichment of school life. Evidenced by</w:t>
            </w:r>
          </w:p>
          <w:p w14:paraId="1AB991F3" w14:textId="77777777" w:rsidR="00F74EA1" w:rsidRDefault="00F74EA1" w:rsidP="00F74EA1">
            <w:pPr>
              <w:pStyle w:val="TableRowCentered"/>
              <w:numPr>
                <w:ilvl w:val="0"/>
                <w:numId w:val="18"/>
              </w:numPr>
              <w:jc w:val="left"/>
              <w:rPr>
                <w:sz w:val="22"/>
                <w:szCs w:val="22"/>
              </w:rPr>
            </w:pPr>
            <w:r>
              <w:rPr>
                <w:sz w:val="22"/>
                <w:szCs w:val="22"/>
              </w:rPr>
              <w:t>Increased visitor engagement in school life to promote outward thinking</w:t>
            </w:r>
          </w:p>
          <w:p w14:paraId="5C20CBCD" w14:textId="77777777" w:rsidR="00F74EA1" w:rsidRDefault="00F74EA1" w:rsidP="00F74EA1">
            <w:pPr>
              <w:pStyle w:val="TableRowCentered"/>
              <w:numPr>
                <w:ilvl w:val="0"/>
                <w:numId w:val="18"/>
              </w:numPr>
              <w:jc w:val="left"/>
              <w:rPr>
                <w:sz w:val="22"/>
                <w:szCs w:val="22"/>
              </w:rPr>
            </w:pPr>
            <w:r>
              <w:rPr>
                <w:sz w:val="22"/>
                <w:szCs w:val="22"/>
              </w:rPr>
              <w:t xml:space="preserve">Increased outside engagement in the wider community activities </w:t>
            </w:r>
          </w:p>
          <w:p w14:paraId="2A7D550E" w14:textId="09F11CA7" w:rsidR="00025B40" w:rsidRDefault="00F74EA1" w:rsidP="00F74EA1">
            <w:pPr>
              <w:pStyle w:val="TableRowCentered"/>
              <w:numPr>
                <w:ilvl w:val="0"/>
                <w:numId w:val="18"/>
              </w:numPr>
              <w:jc w:val="left"/>
              <w:rPr>
                <w:sz w:val="22"/>
                <w:szCs w:val="22"/>
              </w:rPr>
            </w:pPr>
            <w:r>
              <w:rPr>
                <w:sz w:val="22"/>
                <w:szCs w:val="22"/>
              </w:rPr>
              <w:t>Participation in sports schemes</w:t>
            </w:r>
            <w:r w:rsidR="00F54E1B">
              <w:rPr>
                <w:sz w:val="22"/>
                <w:szCs w:val="22"/>
              </w:rPr>
              <w:t xml:space="preserve"> in after </w:t>
            </w:r>
            <w:r>
              <w:rPr>
                <w:sz w:val="22"/>
                <w:szCs w:val="22"/>
              </w:rPr>
              <w:t>school time</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5E5082EA" w:rsidR="00E66558" w:rsidRDefault="009D71E8">
      <w:r>
        <w:t xml:space="preserve">Budgeted cost: £ </w:t>
      </w:r>
      <w:r w:rsidR="006C7B10">
        <w:t>2450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6994591" w:rsidR="00E66558" w:rsidRDefault="00F74EA1">
            <w:pPr>
              <w:pStyle w:val="TableRow"/>
            </w:pPr>
            <w:r>
              <w:rPr>
                <w:iCs/>
                <w:sz w:val="22"/>
              </w:rPr>
              <w:t xml:space="preserve">Enhancement of Teaching and curriculum through funding subject leader release time to access networks to enhance skills </w:t>
            </w:r>
            <w:r w:rsidR="00475E6F">
              <w:rPr>
                <w:iCs/>
                <w:sz w:val="22"/>
              </w:rPr>
              <w:t>and to</w:t>
            </w:r>
            <w:r>
              <w:rPr>
                <w:iCs/>
                <w:sz w:val="22"/>
              </w:rPr>
              <w:t xml:space="preserve"> share best practise with colleagues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AE03" w14:textId="77777777" w:rsidR="00166113" w:rsidRDefault="00166113" w:rsidP="00166113">
            <w:pPr>
              <w:pStyle w:val="TableRowCentered"/>
              <w:jc w:val="left"/>
              <w:rPr>
                <w:sz w:val="22"/>
                <w:szCs w:val="22"/>
              </w:rPr>
            </w:pPr>
            <w:r w:rsidRPr="00166113">
              <w:rPr>
                <w:sz w:val="22"/>
                <w:szCs w:val="22"/>
              </w:rPr>
              <w:t>Meta-Analysis of research by John Hattie breaks down quality teaching into:</w:t>
            </w:r>
          </w:p>
          <w:p w14:paraId="78B89941" w14:textId="77777777" w:rsidR="00166113" w:rsidRDefault="00166113" w:rsidP="00166113">
            <w:pPr>
              <w:pStyle w:val="TableRowCentered"/>
              <w:jc w:val="left"/>
              <w:rPr>
                <w:sz w:val="22"/>
                <w:szCs w:val="22"/>
              </w:rPr>
            </w:pPr>
            <w:r w:rsidRPr="00166113">
              <w:rPr>
                <w:sz w:val="22"/>
                <w:szCs w:val="22"/>
              </w:rPr>
              <w:t xml:space="preserve"> </w:t>
            </w:r>
            <w:r w:rsidRPr="00166113">
              <w:rPr>
                <w:sz w:val="22"/>
                <w:szCs w:val="22"/>
              </w:rPr>
              <w:sym w:font="Symbol" w:char="F0B7"/>
            </w:r>
            <w:r w:rsidRPr="00166113">
              <w:rPr>
                <w:sz w:val="22"/>
                <w:szCs w:val="22"/>
              </w:rPr>
              <w:t xml:space="preserve"> Pupils having clear goals/objectives. </w:t>
            </w:r>
          </w:p>
          <w:p w14:paraId="7D678D07" w14:textId="77777777" w:rsidR="00E66558" w:rsidRDefault="00166113" w:rsidP="00166113">
            <w:pPr>
              <w:pStyle w:val="TableRowCentered"/>
              <w:jc w:val="left"/>
              <w:rPr>
                <w:sz w:val="22"/>
                <w:szCs w:val="22"/>
              </w:rPr>
            </w:pPr>
            <w:r w:rsidRPr="00166113">
              <w:rPr>
                <w:sz w:val="22"/>
                <w:szCs w:val="22"/>
              </w:rPr>
              <w:sym w:font="Symbol" w:char="F0B7"/>
            </w:r>
            <w:r w:rsidRPr="00166113">
              <w:rPr>
                <w:sz w:val="22"/>
                <w:szCs w:val="22"/>
              </w:rPr>
              <w:t xml:space="preserve"> Teachers providing pupils with modelling/scaffolding/appropriate steps to achieve them</w:t>
            </w:r>
          </w:p>
          <w:p w14:paraId="573816A5" w14:textId="77777777" w:rsidR="00F74EA1" w:rsidRDefault="00F74EA1" w:rsidP="00166113">
            <w:pPr>
              <w:pStyle w:val="TableRowCentered"/>
              <w:jc w:val="left"/>
              <w:rPr>
                <w:sz w:val="22"/>
                <w:szCs w:val="22"/>
              </w:rPr>
            </w:pPr>
          </w:p>
          <w:p w14:paraId="2A7D551B" w14:textId="3F5C1EFF" w:rsidR="00F74EA1" w:rsidRPr="00166113" w:rsidRDefault="00F74EA1" w:rsidP="00166113">
            <w:pPr>
              <w:pStyle w:val="TableRowCentered"/>
              <w:jc w:val="left"/>
              <w:rPr>
                <w:b/>
                <w:sz w:val="22"/>
              </w:rPr>
            </w:pPr>
            <w:r>
              <w:rPr>
                <w:sz w:val="22"/>
              </w:rPr>
              <w:t>Good quality teaching requires subject leaders to be current with any changes to the curriculum. This can be attained by networking with colleagues and sharing best practises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AC3D050" w:rsidR="00E66558" w:rsidRDefault="00CC62B7">
            <w:pPr>
              <w:pStyle w:val="TableRowCentered"/>
              <w:jc w:val="left"/>
              <w:rPr>
                <w:sz w:val="22"/>
              </w:rPr>
            </w:pPr>
            <w:r>
              <w:rPr>
                <w:sz w:val="22"/>
              </w:rPr>
              <w:t>1</w:t>
            </w:r>
            <w:r w:rsidR="00D447D0">
              <w:rPr>
                <w:sz w:val="22"/>
              </w:rPr>
              <w:t>, 2, 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7918117" w:rsidR="00E66558" w:rsidRPr="00546679" w:rsidRDefault="00235726">
            <w:pPr>
              <w:pStyle w:val="TableRow"/>
              <w:rPr>
                <w:sz w:val="22"/>
              </w:rPr>
            </w:pPr>
            <w:r w:rsidRPr="00546679">
              <w:rPr>
                <w:iCs/>
                <w:sz w:val="22"/>
                <w:szCs w:val="22"/>
              </w:rPr>
              <w:t>In the moment feedback in lessons from the class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8552B13" w:rsidR="00E66558" w:rsidRDefault="00546679">
            <w:pPr>
              <w:pStyle w:val="TableRowCentered"/>
              <w:jc w:val="left"/>
              <w:rPr>
                <w:sz w:val="22"/>
              </w:rPr>
            </w:pPr>
            <w:r>
              <w:rPr>
                <w:sz w:val="22"/>
              </w:rPr>
              <w:t>See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C655273" w:rsidR="00E66558" w:rsidRDefault="008C5304">
            <w:pPr>
              <w:pStyle w:val="TableRowCentered"/>
              <w:jc w:val="left"/>
              <w:rPr>
                <w:sz w:val="22"/>
              </w:rPr>
            </w:pPr>
            <w:r>
              <w:rPr>
                <w:sz w:val="22"/>
              </w:rPr>
              <w:t>1, 2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DBA8462" w:rsidR="00E66558" w:rsidRDefault="009D71E8">
      <w:r>
        <w:t>Budgeted cost: £</w:t>
      </w:r>
      <w:r w:rsidR="008B1790">
        <w:t>13,900</w:t>
      </w:r>
    </w:p>
    <w:tbl>
      <w:tblPr>
        <w:tblW w:w="5000" w:type="pct"/>
        <w:tblCellMar>
          <w:left w:w="10" w:type="dxa"/>
          <w:right w:w="10" w:type="dxa"/>
        </w:tblCellMar>
        <w:tblLook w:val="04A0" w:firstRow="1" w:lastRow="0" w:firstColumn="1" w:lastColumn="0" w:noHBand="0" w:noVBand="1"/>
      </w:tblPr>
      <w:tblGrid>
        <w:gridCol w:w="1916"/>
        <w:gridCol w:w="5871"/>
        <w:gridCol w:w="1699"/>
      </w:tblGrid>
      <w:tr w:rsidR="00E66558" w14:paraId="2A7D5528" w14:textId="77777777" w:rsidTr="0036122A">
        <w:tc>
          <w:tcPr>
            <w:tcW w:w="19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36122A">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E5B74" w14:textId="77777777" w:rsidR="0036122A" w:rsidRDefault="0036122A" w:rsidP="0036122A">
            <w:pPr>
              <w:pStyle w:val="TableRow"/>
              <w:rPr>
                <w:sz w:val="22"/>
              </w:rPr>
            </w:pPr>
            <w:r w:rsidRPr="00484811">
              <w:rPr>
                <w:sz w:val="22"/>
              </w:rPr>
              <w:t>Focus groups</w:t>
            </w:r>
          </w:p>
          <w:p w14:paraId="550B1DB9" w14:textId="77777777" w:rsidR="00E66558" w:rsidRDefault="0036122A" w:rsidP="0036122A">
            <w:pPr>
              <w:pStyle w:val="TableRow"/>
              <w:rPr>
                <w:sz w:val="22"/>
              </w:rPr>
            </w:pPr>
            <w:r>
              <w:rPr>
                <w:sz w:val="22"/>
              </w:rPr>
              <w:t>Additional sessions targeted at disadvantaged pupils who need further support</w:t>
            </w:r>
          </w:p>
          <w:p w14:paraId="2A7D5529" w14:textId="572E06FE" w:rsidR="008207F7" w:rsidRPr="00546679" w:rsidRDefault="008207F7" w:rsidP="0036122A">
            <w:pPr>
              <w:pStyle w:val="TableRow"/>
            </w:pPr>
            <w:proofErr w:type="gramStart"/>
            <w:r>
              <w:t>Well</w:t>
            </w:r>
            <w:proofErr w:type="gramEnd"/>
            <w:r>
              <w:t xml:space="preserve"> Comm S&amp;L screening to identify </w:t>
            </w:r>
            <w:r w:rsidR="00BE41C5">
              <w:t xml:space="preserve">early language skills.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5B8C" w14:textId="77777777" w:rsidR="00E66558" w:rsidRPr="0036122A" w:rsidRDefault="00166113">
            <w:pPr>
              <w:pStyle w:val="TableRowCentered"/>
              <w:jc w:val="left"/>
              <w:rPr>
                <w:sz w:val="22"/>
                <w:szCs w:val="22"/>
              </w:rPr>
            </w:pPr>
            <w:r w:rsidRPr="0036122A">
              <w:rPr>
                <w:sz w:val="22"/>
                <w:szCs w:val="22"/>
              </w:rPr>
              <w:t xml:space="preserve">Sutton Trust found that, ‘The effects of </w:t>
            </w:r>
            <w:proofErr w:type="gramStart"/>
            <w:r w:rsidRPr="0036122A">
              <w:rPr>
                <w:sz w:val="22"/>
                <w:szCs w:val="22"/>
              </w:rPr>
              <w:t>high quality</w:t>
            </w:r>
            <w:proofErr w:type="gramEnd"/>
            <w:r w:rsidRPr="0036122A">
              <w:rPr>
                <w:sz w:val="22"/>
                <w:szCs w:val="22"/>
              </w:rPr>
              <w:t xml:space="preserve"> teaching are especially significant for pupils from disadvantaged backgrounds: over a school year, these pupils gain 1.5 years’ worth of learning with very effective teachers Smaller class sizes mean disadvantaged pupils can access more of teachers’ time with tightly focused direct teaching</w:t>
            </w:r>
          </w:p>
          <w:p w14:paraId="510EB69F" w14:textId="77777777" w:rsidR="0036122A" w:rsidRPr="0036122A" w:rsidRDefault="0036122A" w:rsidP="0036122A">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Arial" w:hAnsi="Arial" w:cs="Arial"/>
                <w:sz w:val="22"/>
                <w:szCs w:val="22"/>
              </w:rPr>
            </w:pPr>
            <w:r w:rsidRPr="0036122A">
              <w:rPr>
                <w:rFonts w:ascii="Arial" w:hAnsi="Arial" w:cs="Arial"/>
                <w:sz w:val="22"/>
                <w:szCs w:val="22"/>
              </w:rPr>
              <w:t xml:space="preserve">Pupils from lower socioeconomic backgrounds are more likely to be behind their more advantaged counterparts in developing early language and speech skills, which may affect their school experience and learning later in their school lives. Given that Oral language interventions can be used to provide additional support to pupils who are </w:t>
            </w:r>
            <w:r w:rsidRPr="0036122A">
              <w:rPr>
                <w:rFonts w:ascii="Arial" w:hAnsi="Arial" w:cs="Arial"/>
                <w:sz w:val="22"/>
                <w:szCs w:val="22"/>
              </w:rPr>
              <w:lastRenderedPageBreak/>
              <w:t>behind their peers in oral language development, the targeted use of approaches may support some disadvantaged pupils to catch up with peers, particularly when this is provided one-to-one.</w:t>
            </w:r>
          </w:p>
          <w:p w14:paraId="6A845198" w14:textId="77777777" w:rsidR="00A81529" w:rsidRPr="0036122A" w:rsidRDefault="00A81529" w:rsidP="00A81529">
            <w:pPr>
              <w:spacing w:before="60" w:after="60" w:line="240" w:lineRule="auto"/>
              <w:ind w:left="57" w:right="57"/>
              <w:rPr>
                <w:rFonts w:cs="Arial"/>
                <w:color w:val="263238"/>
                <w:sz w:val="22"/>
                <w:szCs w:val="22"/>
                <w:shd w:val="clear" w:color="auto" w:fill="FFFFFF"/>
              </w:rPr>
            </w:pPr>
            <w:r w:rsidRPr="0036122A">
              <w:rPr>
                <w:rFonts w:cs="Arial"/>
                <w:color w:val="263238"/>
                <w:sz w:val="22"/>
                <w:szCs w:val="22"/>
                <w:shd w:val="clear" w:color="auto" w:fill="FFFFFF"/>
              </w:rPr>
              <w:t>Targeted phonics interventions may therefore improve decoding skills more quickly for pupils who have experienced these barriers to learning.</w:t>
            </w:r>
          </w:p>
          <w:p w14:paraId="713B3116" w14:textId="77777777" w:rsidR="00A81529" w:rsidRPr="0036122A" w:rsidRDefault="00A81529" w:rsidP="00A81529">
            <w:pPr>
              <w:pStyle w:val="TableRowCentered"/>
              <w:jc w:val="left"/>
              <w:rPr>
                <w:sz w:val="22"/>
                <w:szCs w:val="22"/>
              </w:rPr>
            </w:pPr>
            <w:r w:rsidRPr="0036122A">
              <w:rPr>
                <w:rFonts w:cs="Arial"/>
                <w:color w:val="1F497D" w:themeColor="text2"/>
                <w:sz w:val="22"/>
                <w:szCs w:val="22"/>
              </w:rPr>
              <w:t>https://educationendowmentfoundation.org.uk/education-evidence/teaching-learning-toolkit/phonics</w:t>
            </w:r>
          </w:p>
          <w:p w14:paraId="6A91BBC9" w14:textId="77777777" w:rsidR="00A81529" w:rsidRPr="0036122A" w:rsidRDefault="00A81529" w:rsidP="00A81529">
            <w:pPr>
              <w:rPr>
                <w:rFonts w:ascii="Helvetica" w:hAnsi="Helvetica"/>
                <w:color w:val="263238"/>
                <w:sz w:val="22"/>
                <w:szCs w:val="22"/>
                <w:shd w:val="clear" w:color="auto" w:fill="FFFFFF"/>
              </w:rPr>
            </w:pPr>
            <w:r w:rsidRPr="0036122A">
              <w:rPr>
                <w:rFonts w:cs="Arial"/>
                <w:color w:val="263238"/>
                <w:sz w:val="22"/>
                <w:szCs w:val="22"/>
                <w:shd w:val="clear" w:color="auto" w:fill="FFFFFF"/>
              </w:rPr>
              <w:t>Pupils eligible for free school meals typically receive similar or slightly greater benefit from phonics interventions and approaches. This is likely to be due to the explicit nature of the instruction and the intensive support provided.</w:t>
            </w:r>
            <w:r w:rsidRPr="0036122A">
              <w:rPr>
                <w:rFonts w:ascii="Helvetica" w:hAnsi="Helvetica"/>
                <w:color w:val="263238"/>
                <w:sz w:val="22"/>
                <w:szCs w:val="22"/>
                <w:shd w:val="clear" w:color="auto" w:fill="FFFFFF"/>
              </w:rPr>
              <w:t xml:space="preserve"> </w:t>
            </w:r>
          </w:p>
          <w:p w14:paraId="2A7D552A" w14:textId="0DA8B12A" w:rsidR="0036122A" w:rsidRPr="0036122A" w:rsidRDefault="0036122A">
            <w:pPr>
              <w:pStyle w:val="TableRowCentered"/>
              <w:jc w:val="left"/>
              <w:rPr>
                <w:sz w:val="22"/>
                <w:szCs w:val="22"/>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35B7B02" w:rsidR="00E66558" w:rsidRDefault="00C31B52">
            <w:pPr>
              <w:pStyle w:val="TableRowCentered"/>
              <w:jc w:val="left"/>
              <w:rPr>
                <w:sz w:val="22"/>
              </w:rPr>
            </w:pPr>
            <w:r>
              <w:rPr>
                <w:sz w:val="22"/>
              </w:rPr>
              <w:lastRenderedPageBreak/>
              <w:t>1</w:t>
            </w:r>
            <w:r w:rsidR="0036122A">
              <w:rPr>
                <w:sz w:val="22"/>
              </w:rPr>
              <w:t>,2,</w:t>
            </w:r>
            <w:r w:rsidR="006B3395">
              <w:rPr>
                <w:sz w:val="22"/>
              </w:rPr>
              <w:t>3</w:t>
            </w:r>
          </w:p>
        </w:tc>
      </w:tr>
      <w:tr w:rsidR="00C31B52" w14:paraId="2A7D5530" w14:textId="77777777" w:rsidTr="0036122A">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9E0185F" w:rsidR="00C31B52" w:rsidRPr="00546679" w:rsidRDefault="002655F6" w:rsidP="00C31B52">
            <w:pPr>
              <w:pStyle w:val="TableRow"/>
              <w:ind w:left="0"/>
              <w:rPr>
                <w:sz w:val="22"/>
              </w:rPr>
            </w:pPr>
            <w:r>
              <w:rPr>
                <w:iCs/>
                <w:sz w:val="22"/>
              </w:rPr>
              <w:t xml:space="preserve">Teaching </w:t>
            </w:r>
            <w:r w:rsidR="00EB7BBA">
              <w:rPr>
                <w:iCs/>
                <w:sz w:val="22"/>
              </w:rPr>
              <w:t xml:space="preserve">delivered and planned </w:t>
            </w:r>
            <w:r>
              <w:rPr>
                <w:iCs/>
                <w:sz w:val="22"/>
              </w:rPr>
              <w:t xml:space="preserve">from a </w:t>
            </w:r>
            <w:r w:rsidR="006B3395">
              <w:rPr>
                <w:iCs/>
                <w:sz w:val="22"/>
              </w:rPr>
              <w:t xml:space="preserve">good quality </w:t>
            </w:r>
            <w:r>
              <w:rPr>
                <w:iCs/>
                <w:sz w:val="22"/>
              </w:rPr>
              <w:t xml:space="preserve">English and Maths </w:t>
            </w:r>
            <w:r w:rsidR="00EB7BBA">
              <w:rPr>
                <w:iCs/>
                <w:sz w:val="22"/>
              </w:rPr>
              <w:t xml:space="preserve">scheme.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C2AE" w14:textId="04F4334F" w:rsidR="00C31B52" w:rsidRDefault="00D075EE">
            <w:pPr>
              <w:pStyle w:val="TableRowCentered"/>
              <w:jc w:val="left"/>
              <w:rPr>
                <w:sz w:val="22"/>
                <w:szCs w:val="22"/>
              </w:rPr>
            </w:pPr>
            <w:r>
              <w:rPr>
                <w:sz w:val="22"/>
                <w:szCs w:val="22"/>
              </w:rPr>
              <w:t>The EEF state</w:t>
            </w:r>
          </w:p>
          <w:p w14:paraId="514743BE" w14:textId="5808DD80" w:rsidR="00D075EE" w:rsidRPr="0036122A" w:rsidRDefault="00D075EE">
            <w:pPr>
              <w:pStyle w:val="TableRowCentered"/>
              <w:jc w:val="left"/>
              <w:rPr>
                <w:sz w:val="22"/>
                <w:szCs w:val="22"/>
              </w:rPr>
            </w:pPr>
            <w:r w:rsidRPr="00D075EE">
              <w:rPr>
                <w:sz w:val="22"/>
                <w:szCs w:val="22"/>
              </w:rPr>
              <w:t xml:space="preserve">The best available evidence indicates that great teaching is the most important lever schools </w:t>
            </w:r>
            <w:proofErr w:type="gramStart"/>
            <w:r w:rsidRPr="00D075EE">
              <w:rPr>
                <w:sz w:val="22"/>
                <w:szCs w:val="22"/>
              </w:rPr>
              <w:t>have to</w:t>
            </w:r>
            <w:proofErr w:type="gramEnd"/>
            <w:r w:rsidRPr="00D075EE">
              <w:rPr>
                <w:sz w:val="22"/>
                <w:szCs w:val="22"/>
              </w:rPr>
              <w:t xml:space="preserve"> improve pupil attainment. Ensuring every teacher is supported in delivering high-quality teaching is essential to achieving the best outcomes for all pupils, particularly the most disadvantaged among them.</w:t>
            </w:r>
          </w:p>
          <w:p w14:paraId="2A7D552E" w14:textId="589B79EC" w:rsidR="0036122A" w:rsidRDefault="000556D7" w:rsidP="00A81529">
            <w:pPr>
              <w:rPr>
                <w:sz w:val="22"/>
              </w:rPr>
            </w:pPr>
            <w:r w:rsidRPr="000556D7">
              <w:rPr>
                <w:sz w:val="22"/>
              </w:rPr>
              <w:t>Teaching approaches that ensure long-term retention of knowledge, fluency in key skills, and confident use of metacognitive strategies are crucial. These are fundamental to learning and are the ​‘bread and butter’ of effective teaching:</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3346880" w:rsidR="00C31B52" w:rsidRDefault="00C31B52">
            <w:pPr>
              <w:pStyle w:val="TableRowCentered"/>
              <w:jc w:val="left"/>
              <w:rPr>
                <w:sz w:val="22"/>
              </w:rPr>
            </w:pPr>
            <w:r>
              <w:rPr>
                <w:sz w:val="22"/>
              </w:rPr>
              <w:t>1</w:t>
            </w:r>
            <w:r w:rsidR="00453C32">
              <w:rPr>
                <w:sz w:val="22"/>
              </w:rPr>
              <w:t>,2,3</w:t>
            </w:r>
          </w:p>
        </w:tc>
      </w:tr>
      <w:tr w:rsidR="0036122A" w14:paraId="72D1BBFC" w14:textId="77777777" w:rsidTr="0036122A">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2A49" w14:textId="77777777" w:rsidR="0036122A" w:rsidRDefault="00AA4CEB" w:rsidP="0036122A">
            <w:pPr>
              <w:pStyle w:val="TableRow"/>
              <w:rPr>
                <w:iCs/>
                <w:sz w:val="22"/>
                <w:szCs w:val="22"/>
              </w:rPr>
            </w:pPr>
            <w:r>
              <w:rPr>
                <w:iCs/>
                <w:sz w:val="22"/>
                <w:szCs w:val="22"/>
              </w:rPr>
              <w:t>Staff receive</w:t>
            </w:r>
            <w:r w:rsidR="0076474B">
              <w:rPr>
                <w:iCs/>
                <w:sz w:val="22"/>
                <w:szCs w:val="22"/>
              </w:rPr>
              <w:t xml:space="preserve"> and participate in high quality CPD to improve </w:t>
            </w:r>
            <w:r w:rsidR="00816EBE">
              <w:rPr>
                <w:iCs/>
                <w:sz w:val="22"/>
                <w:szCs w:val="22"/>
              </w:rPr>
              <w:t>disadvantage pupil outcomes</w:t>
            </w:r>
          </w:p>
          <w:p w14:paraId="4A87CF4B" w14:textId="1DD0C4BC" w:rsidR="00816EBE" w:rsidRPr="00546679" w:rsidRDefault="00816EBE" w:rsidP="0036122A">
            <w:pPr>
              <w:pStyle w:val="TableRow"/>
              <w:rPr>
                <w:iCs/>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C714" w14:textId="77777777" w:rsidR="0036122A" w:rsidRDefault="00D6457E" w:rsidP="0036122A">
            <w:pPr>
              <w:pStyle w:val="TableRowCentered"/>
              <w:jc w:val="left"/>
              <w:rPr>
                <w:sz w:val="22"/>
              </w:rPr>
            </w:pPr>
            <w:r>
              <w:rPr>
                <w:sz w:val="22"/>
              </w:rPr>
              <w:t xml:space="preserve">CPD is linked to improving pupil outcomes </w:t>
            </w:r>
            <w:r w:rsidR="003001F8">
              <w:rPr>
                <w:sz w:val="22"/>
              </w:rPr>
              <w:t xml:space="preserve">both academically and SEMH. </w:t>
            </w:r>
          </w:p>
          <w:p w14:paraId="482D0BF9" w14:textId="77777777" w:rsidR="007D125B" w:rsidRDefault="007D125B" w:rsidP="0036122A">
            <w:pPr>
              <w:pStyle w:val="TableRowCentered"/>
              <w:jc w:val="left"/>
              <w:rPr>
                <w:sz w:val="22"/>
              </w:rPr>
            </w:pPr>
            <w:r>
              <w:rPr>
                <w:sz w:val="22"/>
              </w:rPr>
              <w:t xml:space="preserve">This can be in house </w:t>
            </w:r>
            <w:r w:rsidR="00BC76B8">
              <w:rPr>
                <w:sz w:val="22"/>
              </w:rPr>
              <w:t>training and support or by a third party i.e. VNET</w:t>
            </w:r>
          </w:p>
          <w:p w14:paraId="1EA1E606" w14:textId="77777777" w:rsidR="00466DEC" w:rsidRDefault="00466DEC" w:rsidP="00466DEC">
            <w:r>
              <w:t xml:space="preserve">The Education Policy Institute </w:t>
            </w:r>
            <w:r w:rsidR="004446C7">
              <w:t>state</w:t>
            </w:r>
          </w:p>
          <w:p w14:paraId="5D9073E1" w14:textId="49B22698" w:rsidR="004446C7" w:rsidRPr="004446C7" w:rsidRDefault="004446C7" w:rsidP="004446C7">
            <w:pPr>
              <w:numPr>
                <w:ilvl w:val="0"/>
                <w:numId w:val="20"/>
              </w:numPr>
            </w:pPr>
            <w:r w:rsidRPr="004446C7">
              <w:rPr>
                <w:b/>
                <w:bCs/>
              </w:rPr>
              <w:t>High-quality CPD for teachers has a significant effect on pupils’ learning outcomes</w:t>
            </w:r>
            <w:r w:rsidRPr="004446C7">
              <w:t>. CPD programmes have the potential to close the gap between beginner and more experienced teachers:</w:t>
            </w:r>
          </w:p>
          <w:p w14:paraId="57284357" w14:textId="33B7BCEA" w:rsidR="004446C7" w:rsidRPr="00466DEC" w:rsidRDefault="004446C7" w:rsidP="00466DEC"/>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4B4E" w14:textId="1C1851B5" w:rsidR="0036122A" w:rsidRDefault="00453C32" w:rsidP="0036122A">
            <w:pPr>
              <w:pStyle w:val="TableRowCentered"/>
              <w:jc w:val="left"/>
              <w:rPr>
                <w:sz w:val="22"/>
              </w:rPr>
            </w:pPr>
            <w:r>
              <w:rPr>
                <w:sz w:val="22"/>
              </w:rPr>
              <w:t xml:space="preserve">1, 2, </w:t>
            </w:r>
            <w:r w:rsidR="00542082">
              <w:rPr>
                <w:sz w:val="22"/>
              </w:rPr>
              <w:t>3, 4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56830251" w:rsidR="00E66558" w:rsidRDefault="009D71E8">
      <w:pPr>
        <w:spacing w:before="240" w:after="120"/>
      </w:pPr>
      <w:r>
        <w:t>Budgeted cost: £</w:t>
      </w:r>
      <w:r w:rsidR="000C7387">
        <w:t>6</w:t>
      </w:r>
      <w:r w:rsidR="00636F22">
        <w:t>,</w:t>
      </w:r>
      <w:r w:rsidR="000C7387">
        <w:t>2</w:t>
      </w:r>
      <w:r w:rsidR="00C068D7">
        <w:t>50</w:t>
      </w:r>
    </w:p>
    <w:tbl>
      <w:tblPr>
        <w:tblW w:w="5000" w:type="pct"/>
        <w:tblCellMar>
          <w:left w:w="10" w:type="dxa"/>
          <w:right w:w="10" w:type="dxa"/>
        </w:tblCellMar>
        <w:tblLook w:val="04A0" w:firstRow="1" w:lastRow="0" w:firstColumn="1" w:lastColumn="0" w:noHBand="0" w:noVBand="1"/>
      </w:tblPr>
      <w:tblGrid>
        <w:gridCol w:w="1856"/>
        <w:gridCol w:w="5871"/>
        <w:gridCol w:w="1759"/>
      </w:tblGrid>
      <w:tr w:rsidR="00E66558" w14:paraId="2A7D5537"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6122A" w14:paraId="2A7D553B"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8D35701" w:rsidR="0036122A" w:rsidRPr="00546679" w:rsidRDefault="0036122A" w:rsidP="0036122A">
            <w:pPr>
              <w:pStyle w:val="TableRow"/>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3ED0072" w:rsidR="00A81848" w:rsidRDefault="00A81848" w:rsidP="0036122A">
            <w:pPr>
              <w:pStyle w:val="TableRowCentered"/>
              <w:jc w:val="left"/>
              <w:rPr>
                <w:sz w:val="22"/>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235DCDB" w:rsidR="0036122A" w:rsidRDefault="0036122A" w:rsidP="0036122A">
            <w:pPr>
              <w:pStyle w:val="TableRowCentered"/>
              <w:ind w:left="0"/>
              <w:jc w:val="left"/>
              <w:rPr>
                <w:sz w:val="22"/>
              </w:rPr>
            </w:pPr>
          </w:p>
        </w:tc>
      </w:tr>
      <w:tr w:rsidR="00A81848" w14:paraId="2A7D553F"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FD7F9" w14:textId="094F21CD" w:rsidR="00A81848" w:rsidRPr="00A00F0C" w:rsidRDefault="00A81848" w:rsidP="00A81848">
            <w:pPr>
              <w:pStyle w:val="TableRow"/>
              <w:rPr>
                <w:iCs/>
                <w:sz w:val="22"/>
                <w:szCs w:val="22"/>
              </w:rPr>
            </w:pPr>
            <w:r w:rsidRPr="00A00F0C">
              <w:rPr>
                <w:iCs/>
                <w:sz w:val="22"/>
                <w:szCs w:val="22"/>
              </w:rPr>
              <w:t>SEMH therapies-</w:t>
            </w:r>
          </w:p>
          <w:p w14:paraId="7CED3AF4" w14:textId="77777777" w:rsidR="00A81848" w:rsidRPr="00A00F0C" w:rsidRDefault="00A81848" w:rsidP="00A81848">
            <w:pPr>
              <w:pStyle w:val="TableRow"/>
              <w:rPr>
                <w:sz w:val="22"/>
                <w:szCs w:val="22"/>
              </w:rPr>
            </w:pPr>
            <w:r w:rsidRPr="00A00F0C">
              <w:rPr>
                <w:sz w:val="22"/>
                <w:szCs w:val="22"/>
              </w:rPr>
              <w:t>Lego Therapy</w:t>
            </w:r>
          </w:p>
          <w:p w14:paraId="33FB9821" w14:textId="77777777" w:rsidR="00A81848" w:rsidRPr="00A00F0C" w:rsidRDefault="00A81848" w:rsidP="00A81848">
            <w:pPr>
              <w:pStyle w:val="TableRow"/>
              <w:rPr>
                <w:sz w:val="22"/>
                <w:szCs w:val="22"/>
              </w:rPr>
            </w:pPr>
            <w:r w:rsidRPr="00A00F0C">
              <w:rPr>
                <w:sz w:val="22"/>
                <w:szCs w:val="22"/>
              </w:rPr>
              <w:t>Drawing and Talking</w:t>
            </w:r>
          </w:p>
          <w:p w14:paraId="5607FCA2" w14:textId="77777777" w:rsidR="00A81848" w:rsidRPr="00A00F0C" w:rsidRDefault="00A81848" w:rsidP="00A81848">
            <w:pPr>
              <w:pStyle w:val="TableRow"/>
              <w:rPr>
                <w:sz w:val="22"/>
                <w:szCs w:val="22"/>
              </w:rPr>
            </w:pPr>
            <w:r w:rsidRPr="00A00F0C">
              <w:rPr>
                <w:sz w:val="22"/>
                <w:szCs w:val="22"/>
              </w:rPr>
              <w:t>Thrive</w:t>
            </w:r>
          </w:p>
          <w:p w14:paraId="0B73BA1B" w14:textId="77777777" w:rsidR="00A81848" w:rsidRPr="00A00F0C" w:rsidRDefault="00A81848" w:rsidP="00A81848">
            <w:pPr>
              <w:pStyle w:val="TableRow"/>
              <w:rPr>
                <w:sz w:val="22"/>
                <w:szCs w:val="22"/>
              </w:rPr>
            </w:pPr>
            <w:r w:rsidRPr="00A00F0C">
              <w:rPr>
                <w:sz w:val="22"/>
                <w:szCs w:val="22"/>
              </w:rPr>
              <w:t>Young carers</w:t>
            </w:r>
          </w:p>
          <w:p w14:paraId="2A7D553C" w14:textId="60F24577" w:rsidR="00A81848" w:rsidRPr="00546679" w:rsidRDefault="00A81848" w:rsidP="00A81848">
            <w:pPr>
              <w:pStyle w:val="TableRow"/>
              <w:rPr>
                <w:sz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DB47" w14:textId="77777777" w:rsidR="00A81848" w:rsidRPr="00A00F0C" w:rsidRDefault="00A81848" w:rsidP="00A81848">
            <w:pPr>
              <w:pStyle w:val="TableRowCentered"/>
              <w:jc w:val="left"/>
              <w:rPr>
                <w:rFonts w:cs="Arial"/>
                <w:sz w:val="22"/>
                <w:szCs w:val="22"/>
              </w:rPr>
            </w:pPr>
            <w:r w:rsidRPr="00A00F0C">
              <w:rPr>
                <w:rFonts w:cs="Arial"/>
                <w:color w:val="263238"/>
                <w:sz w:val="22"/>
                <w:szCs w:val="22"/>
                <w:shd w:val="clear" w:color="auto" w:fill="FFFFFF"/>
              </w:rPr>
              <w:t>The most common reason for exclusion is persistent disruptive behaviour. Pupil behaviour will have multiple influences, some of which teachers can directly manage though universal or classroom management approaches. Some pupils will require more specialist support to help manage their self-regulation or social and emotional skills.</w:t>
            </w:r>
            <w:r w:rsidRPr="00A00F0C">
              <w:rPr>
                <w:rFonts w:cs="Arial"/>
                <w:sz w:val="22"/>
                <w:szCs w:val="22"/>
              </w:rPr>
              <w:t xml:space="preserve"> </w:t>
            </w:r>
          </w:p>
          <w:p w14:paraId="5E98F75A" w14:textId="77777777" w:rsidR="00A81848" w:rsidRDefault="00A81848" w:rsidP="00A81848">
            <w:pPr>
              <w:pStyle w:val="TableRowCentered"/>
              <w:jc w:val="left"/>
              <w:rPr>
                <w:color w:val="4F81BD" w:themeColor="accent1"/>
                <w:sz w:val="22"/>
              </w:rPr>
            </w:pPr>
            <w:hyperlink r:id="rId10" w:history="1">
              <w:r w:rsidRPr="00CC103C">
                <w:rPr>
                  <w:rStyle w:val="Hyperlink"/>
                  <w:sz w:val="22"/>
                </w:rPr>
                <w:t>https://educationendowmentfoundation.org.uk/education-evidence/teaching-learning-toolkit/behaviour-interventions</w:t>
              </w:r>
            </w:hyperlink>
          </w:p>
          <w:p w14:paraId="2D561941" w14:textId="77777777" w:rsidR="00A81848" w:rsidRPr="00A00F0C" w:rsidRDefault="00A81848" w:rsidP="00A81848">
            <w:pPr>
              <w:pStyle w:val="TableRowCentered"/>
              <w:jc w:val="left"/>
              <w:rPr>
                <w:color w:val="4F81BD" w:themeColor="accent1"/>
                <w:sz w:val="22"/>
              </w:rPr>
            </w:pPr>
          </w:p>
          <w:p w14:paraId="5B13991F" w14:textId="77777777" w:rsidR="00A81848" w:rsidRDefault="00A81848" w:rsidP="00A81848">
            <w:pPr>
              <w:pStyle w:val="TableRowCentered"/>
              <w:jc w:val="left"/>
              <w:rPr>
                <w:sz w:val="22"/>
              </w:rPr>
            </w:pPr>
            <w:r>
              <w:rPr>
                <w:sz w:val="22"/>
              </w:rPr>
              <w:t>Children more able to manage their emotions and able to regulate themselves.</w:t>
            </w:r>
          </w:p>
          <w:p w14:paraId="19E6112E" w14:textId="77777777" w:rsidR="00A81848" w:rsidRDefault="00A81848" w:rsidP="00A81848">
            <w:pPr>
              <w:pStyle w:val="TableRowCentered"/>
              <w:jc w:val="left"/>
              <w:rPr>
                <w:sz w:val="22"/>
              </w:rPr>
            </w:pPr>
            <w:r>
              <w:rPr>
                <w:sz w:val="22"/>
              </w:rPr>
              <w:t>Thrive assessments increasing.</w:t>
            </w:r>
          </w:p>
          <w:p w14:paraId="2A7D553D" w14:textId="2A2DE02A" w:rsidR="00A81848" w:rsidRDefault="00A81848" w:rsidP="00A81848">
            <w:pPr>
              <w:pStyle w:val="TableRowCentered"/>
              <w:jc w:val="left"/>
              <w:rPr>
                <w:sz w:val="22"/>
              </w:rPr>
            </w:pPr>
            <w:r>
              <w:rPr>
                <w:sz w:val="22"/>
              </w:rPr>
              <w:t>Children feeling more confident in the school environment.</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8B6D67C" w:rsidR="00A81848" w:rsidRDefault="00A81848" w:rsidP="00A81848">
            <w:pPr>
              <w:pStyle w:val="TableRowCentered"/>
              <w:jc w:val="left"/>
              <w:rPr>
                <w:sz w:val="22"/>
              </w:rPr>
            </w:pPr>
            <w:r>
              <w:rPr>
                <w:sz w:val="22"/>
              </w:rPr>
              <w:t>1,2,4</w:t>
            </w:r>
          </w:p>
        </w:tc>
      </w:tr>
      <w:tr w:rsidR="00A81848" w14:paraId="093BEEAB"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D54B" w14:textId="4344F756" w:rsidR="00A81848" w:rsidRDefault="00A81848" w:rsidP="00A81848">
            <w:pPr>
              <w:pStyle w:val="TableRow"/>
              <w:rPr>
                <w:iCs/>
                <w:sz w:val="22"/>
              </w:rPr>
            </w:pPr>
            <w:r>
              <w:rPr>
                <w:iCs/>
                <w:sz w:val="22"/>
              </w:rPr>
              <w:t>Follow principles of good practise set out in DFE Improving School Attendance.</w:t>
            </w:r>
          </w:p>
          <w:p w14:paraId="653288DE" w14:textId="77777777" w:rsidR="00A81848" w:rsidRDefault="00A81848" w:rsidP="00A81848">
            <w:pPr>
              <w:pStyle w:val="TableRow"/>
              <w:rPr>
                <w:iCs/>
                <w:sz w:val="22"/>
              </w:rPr>
            </w:pPr>
          </w:p>
          <w:p w14:paraId="0418B110" w14:textId="6CE0A825" w:rsidR="00A81848" w:rsidRPr="00546679" w:rsidRDefault="00A81848" w:rsidP="00A81848">
            <w:pPr>
              <w:pStyle w:val="TableRow"/>
              <w:rPr>
                <w:sz w:val="22"/>
              </w:rPr>
            </w:pPr>
            <w:r>
              <w:rPr>
                <w:iCs/>
                <w:sz w:val="22"/>
              </w:rPr>
              <w:t>This may involve training and release time for staff to develop and implement these procedures</w:t>
            </w:r>
            <w:r w:rsidR="00A111AE">
              <w:rPr>
                <w:iCs/>
                <w:sz w:val="22"/>
              </w:rPr>
              <w:t xml:space="preserve"> and for monitoring and action purposes.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5B58" w14:textId="77777777" w:rsidR="00A81848" w:rsidRDefault="00A81848" w:rsidP="00A81848">
            <w:pPr>
              <w:pStyle w:val="TableRowCentered"/>
              <w:jc w:val="left"/>
              <w:rPr>
                <w:sz w:val="22"/>
              </w:rPr>
            </w:pPr>
            <w:r>
              <w:rPr>
                <w:sz w:val="22"/>
              </w:rPr>
              <w:t xml:space="preserve">Attendance research shows children need to be in school to learn. </w:t>
            </w:r>
          </w:p>
          <w:p w14:paraId="7AA1F583" w14:textId="77777777" w:rsidR="00A81848" w:rsidRDefault="00A81848" w:rsidP="00A81848">
            <w:pPr>
              <w:pStyle w:val="TableRowCentered"/>
              <w:ind w:left="0"/>
              <w:jc w:val="left"/>
              <w:rPr>
                <w:sz w:val="22"/>
              </w:rPr>
            </w:pPr>
            <w:r>
              <w:rPr>
                <w:sz w:val="22"/>
              </w:rPr>
              <w:t>Days or minutes of school time lost means lost learning time and gaps in learning. This also impacts the pupils’ well-being.</w:t>
            </w:r>
          </w:p>
          <w:p w14:paraId="3254ABC9" w14:textId="77777777" w:rsidR="00A81848" w:rsidRDefault="00A81848" w:rsidP="00A81848">
            <w:pPr>
              <w:pStyle w:val="TableRowCentered"/>
              <w:ind w:left="0"/>
              <w:jc w:val="left"/>
              <w:rPr>
                <w:sz w:val="22"/>
              </w:rPr>
            </w:pPr>
          </w:p>
          <w:p w14:paraId="424D6BFC" w14:textId="754F07F9" w:rsidR="00A81848" w:rsidRDefault="00A81848" w:rsidP="00A81848">
            <w:pPr>
              <w:pStyle w:val="TableRowCentered"/>
              <w:ind w:left="0"/>
              <w:jc w:val="left"/>
              <w:rPr>
                <w:sz w:val="22"/>
              </w:rPr>
            </w:pPr>
            <w:r>
              <w:rPr>
                <w:sz w:val="22"/>
              </w:rPr>
              <w:t>Guidance has been drawn by DFE working with schools who have actively followed this advice and been successful in reducing the levels of absence and persistent absence.</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6CBA" w14:textId="67EF5047" w:rsidR="00A81848" w:rsidRDefault="00542082" w:rsidP="00542082">
            <w:pPr>
              <w:pStyle w:val="TableRowCentered"/>
              <w:ind w:left="0"/>
              <w:jc w:val="left"/>
              <w:rPr>
                <w:sz w:val="22"/>
              </w:rPr>
            </w:pPr>
            <w:r>
              <w:rPr>
                <w:sz w:val="22"/>
              </w:rPr>
              <w:t xml:space="preserve">1,2, </w:t>
            </w:r>
            <w:r w:rsidR="00A81848">
              <w:rPr>
                <w:sz w:val="22"/>
              </w:rPr>
              <w:t>3,4</w:t>
            </w:r>
          </w:p>
        </w:tc>
      </w:tr>
      <w:tr w:rsidR="00A81848" w14:paraId="445FB737"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F3F0" w14:textId="729CC863" w:rsidR="00A81848" w:rsidRPr="00546679" w:rsidRDefault="00A81848" w:rsidP="00A81848">
            <w:pPr>
              <w:pStyle w:val="TableRow"/>
              <w:rPr>
                <w:sz w:val="22"/>
              </w:rPr>
            </w:pPr>
            <w:r>
              <w:rPr>
                <w:iCs/>
                <w:sz w:val="22"/>
              </w:rPr>
              <w:lastRenderedPageBreak/>
              <w:t xml:space="preserve">Behaviour management and anti-bullying approaches to develop school ethos and improve behaviour across the </w:t>
            </w:r>
            <w:proofErr w:type="gramStart"/>
            <w:r>
              <w:rPr>
                <w:iCs/>
                <w:sz w:val="22"/>
              </w:rPr>
              <w:t>school</w:t>
            </w:r>
            <w:r w:rsidRPr="00546679">
              <w:rPr>
                <w:sz w:val="22"/>
              </w:rPr>
              <w:t xml:space="preserve"> </w:t>
            </w:r>
            <w:r>
              <w:rPr>
                <w:sz w:val="22"/>
              </w:rPr>
              <w:t xml:space="preserve"> -</w:t>
            </w:r>
            <w:proofErr w:type="gramEnd"/>
            <w:r>
              <w:rPr>
                <w:sz w:val="22"/>
              </w:rPr>
              <w:t xml:space="preserve"> positive reward through </w:t>
            </w:r>
            <w:r w:rsidRPr="00546679">
              <w:rPr>
                <w:sz w:val="22"/>
              </w:rPr>
              <w:t xml:space="preserve">Class Dojo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49D2" w14:textId="77777777" w:rsidR="00A81848" w:rsidRDefault="00A81848" w:rsidP="00A81848">
            <w:pPr>
              <w:pStyle w:val="TableRowCentered"/>
              <w:jc w:val="left"/>
              <w:rPr>
                <w:sz w:val="22"/>
              </w:rPr>
            </w:pPr>
            <w:r>
              <w:rPr>
                <w:sz w:val="22"/>
              </w:rPr>
              <w:t xml:space="preserve">Evidence shows the importance of developing positive learning behaviour skills for lifelong learning and readiness for higher education and employment. </w:t>
            </w:r>
          </w:p>
          <w:p w14:paraId="5C47F313" w14:textId="77777777" w:rsidR="00A81848" w:rsidRDefault="00A81848" w:rsidP="00A81848">
            <w:pPr>
              <w:pStyle w:val="TableRowCentered"/>
              <w:jc w:val="left"/>
              <w:rPr>
                <w:sz w:val="22"/>
                <w:szCs w:val="22"/>
              </w:rPr>
            </w:pPr>
            <w:r w:rsidRPr="00166113">
              <w:rPr>
                <w:sz w:val="22"/>
                <w:szCs w:val="22"/>
              </w:rPr>
              <w:t>Meta-Analysis of research by John Hattie breaks down quality teaching into:</w:t>
            </w:r>
          </w:p>
          <w:p w14:paraId="4F450E6C" w14:textId="77777777" w:rsidR="00A81848" w:rsidRDefault="00A81848" w:rsidP="00A81848">
            <w:pPr>
              <w:pStyle w:val="TableRowCentered"/>
              <w:jc w:val="left"/>
              <w:rPr>
                <w:sz w:val="22"/>
                <w:szCs w:val="22"/>
              </w:rPr>
            </w:pPr>
            <w:r w:rsidRPr="00166113">
              <w:rPr>
                <w:sz w:val="22"/>
                <w:szCs w:val="22"/>
              </w:rPr>
              <w:t xml:space="preserve"> </w:t>
            </w:r>
            <w:r w:rsidRPr="00166113">
              <w:rPr>
                <w:sz w:val="22"/>
                <w:szCs w:val="22"/>
              </w:rPr>
              <w:sym w:font="Symbol" w:char="F0B7"/>
            </w:r>
            <w:r w:rsidRPr="00166113">
              <w:rPr>
                <w:sz w:val="22"/>
                <w:szCs w:val="22"/>
              </w:rPr>
              <w:t xml:space="preserve"> Pupils having clear goals/objectives. </w:t>
            </w:r>
          </w:p>
          <w:p w14:paraId="27471C01" w14:textId="77777777" w:rsidR="00A81848" w:rsidRDefault="00A81848" w:rsidP="00A81848">
            <w:pPr>
              <w:pStyle w:val="TableRowCentered"/>
              <w:jc w:val="left"/>
              <w:rPr>
                <w:sz w:val="22"/>
                <w:szCs w:val="22"/>
              </w:rPr>
            </w:pPr>
            <w:r w:rsidRPr="00166113">
              <w:rPr>
                <w:sz w:val="22"/>
                <w:szCs w:val="22"/>
              </w:rPr>
              <w:sym w:font="Symbol" w:char="F0B7"/>
            </w:r>
            <w:r w:rsidRPr="00166113">
              <w:rPr>
                <w:sz w:val="22"/>
                <w:szCs w:val="22"/>
              </w:rPr>
              <w:t xml:space="preserve"> Teachers providing pupils with modelling/scaffolding/appropriate steps to achieve them</w:t>
            </w:r>
          </w:p>
          <w:p w14:paraId="6E0A12E0" w14:textId="77777777" w:rsidR="00A81848" w:rsidRDefault="00A81848" w:rsidP="00A81848">
            <w:pPr>
              <w:pStyle w:val="TableRowCentered"/>
              <w:ind w:left="0"/>
              <w:jc w:val="left"/>
              <w:rPr>
                <w:color w:val="000000" w:themeColor="text1"/>
                <w:sz w:val="22"/>
              </w:rPr>
            </w:pPr>
            <w:r>
              <w:rPr>
                <w:color w:val="000000" w:themeColor="text1"/>
                <w:sz w:val="22"/>
              </w:rPr>
              <w:t>When adopting behaviour interventions – whether targeted or universal – it is important to consider providing professional development to staff to ensure high quality delivery and consistency across the school.</w:t>
            </w:r>
          </w:p>
          <w:p w14:paraId="13830447" w14:textId="77777777" w:rsidR="00A81848" w:rsidRDefault="00A81848" w:rsidP="00A81848">
            <w:pPr>
              <w:pStyle w:val="TableRowCentered"/>
              <w:ind w:left="0"/>
              <w:jc w:val="left"/>
              <w:rPr>
                <w:color w:val="000000" w:themeColor="text1"/>
                <w:sz w:val="22"/>
              </w:rPr>
            </w:pPr>
          </w:p>
          <w:p w14:paraId="2447D6A9" w14:textId="77777777" w:rsidR="00A81848" w:rsidRDefault="00A81848" w:rsidP="00A81848">
            <w:pPr>
              <w:pStyle w:val="TableRowCentered"/>
              <w:ind w:left="0"/>
              <w:jc w:val="left"/>
              <w:rPr>
                <w:color w:val="000000" w:themeColor="text1"/>
                <w:sz w:val="22"/>
              </w:rPr>
            </w:pPr>
            <w:r>
              <w:rPr>
                <w:color w:val="000000" w:themeColor="text1"/>
                <w:sz w:val="22"/>
              </w:rPr>
              <w:t xml:space="preserve">Both targeted and universal interventions can have a </w:t>
            </w:r>
            <w:proofErr w:type="gramStart"/>
            <w:r>
              <w:rPr>
                <w:color w:val="000000" w:themeColor="text1"/>
                <w:sz w:val="22"/>
              </w:rPr>
              <w:t>positive effects</w:t>
            </w:r>
            <w:proofErr w:type="gramEnd"/>
          </w:p>
          <w:p w14:paraId="7302D414" w14:textId="77777777" w:rsidR="00A81848" w:rsidRDefault="00A81848" w:rsidP="00A81848">
            <w:pPr>
              <w:pStyle w:val="TableRowCentered"/>
              <w:ind w:left="0"/>
              <w:jc w:val="left"/>
              <w:rPr>
                <w:color w:val="000000" w:themeColor="text1"/>
                <w:sz w:val="22"/>
              </w:rPr>
            </w:pPr>
          </w:p>
          <w:p w14:paraId="115DF9FC" w14:textId="4E8EF66E" w:rsidR="00A81848" w:rsidRPr="00166113" w:rsidRDefault="00A81848" w:rsidP="00A81848">
            <w:pPr>
              <w:pStyle w:val="TableRowCentered"/>
              <w:jc w:val="left"/>
              <w:rPr>
                <w:sz w:val="22"/>
                <w:szCs w:val="22"/>
              </w:rPr>
            </w:pPr>
            <w:r w:rsidRPr="00C617AD">
              <w:rPr>
                <w:color w:val="1F497D" w:themeColor="text2"/>
                <w:sz w:val="22"/>
              </w:rPr>
              <w:t>https://educationendowmentfoundation.org.uk/education-evidence/teaching-learning-toolkit/behaviour-interventions</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BEA13" w14:textId="40F19602" w:rsidR="00A81848" w:rsidRDefault="00A81848" w:rsidP="00A81848">
            <w:pPr>
              <w:pStyle w:val="TableRowCentered"/>
              <w:jc w:val="left"/>
              <w:rPr>
                <w:sz w:val="22"/>
              </w:rPr>
            </w:pPr>
            <w:r>
              <w:rPr>
                <w:sz w:val="22"/>
              </w:rPr>
              <w:t>1, 2,</w:t>
            </w:r>
            <w:r w:rsidR="00766C45">
              <w:rPr>
                <w:sz w:val="22"/>
              </w:rPr>
              <w:t xml:space="preserve"> 3,</w:t>
            </w:r>
            <w:r>
              <w:rPr>
                <w:sz w:val="22"/>
              </w:rPr>
              <w:t xml:space="preserve"> 4</w:t>
            </w:r>
          </w:p>
        </w:tc>
      </w:tr>
      <w:tr w:rsidR="00A81848" w14:paraId="7C0CEEFC"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1FE1" w14:textId="09068185" w:rsidR="00A81848" w:rsidRPr="00546679" w:rsidRDefault="00A81848" w:rsidP="00A81848">
            <w:pPr>
              <w:pStyle w:val="TableRow"/>
              <w:rPr>
                <w:sz w:val="22"/>
              </w:rPr>
            </w:pPr>
            <w:r w:rsidRPr="00546679">
              <w:rPr>
                <w:sz w:val="22"/>
              </w:rPr>
              <w:t>Extra snack</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E91C" w14:textId="69C9282A" w:rsidR="00A81848" w:rsidRDefault="00A81848" w:rsidP="00A81848">
            <w:pPr>
              <w:pStyle w:val="TableRowCentered"/>
              <w:jc w:val="left"/>
              <w:rPr>
                <w:sz w:val="22"/>
              </w:rPr>
            </w:pPr>
            <w:r>
              <w:rPr>
                <w:sz w:val="22"/>
              </w:rPr>
              <w:t xml:space="preserve">See below for benefits </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A013" w14:textId="3E882BD6" w:rsidR="00A81848" w:rsidRDefault="00A81848" w:rsidP="00A81848">
            <w:pPr>
              <w:pStyle w:val="TableRowCentered"/>
              <w:jc w:val="left"/>
              <w:rPr>
                <w:sz w:val="22"/>
              </w:rPr>
            </w:pPr>
            <w:r>
              <w:rPr>
                <w:sz w:val="22"/>
              </w:rPr>
              <w:t>1,2</w:t>
            </w:r>
          </w:p>
        </w:tc>
      </w:tr>
      <w:tr w:rsidR="00A81848" w14:paraId="3E1728FA"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9216" w14:textId="02F650D8" w:rsidR="00A81848" w:rsidRPr="00546679" w:rsidRDefault="00A81848" w:rsidP="00A81848">
            <w:pPr>
              <w:pStyle w:val="TableRow"/>
              <w:rPr>
                <w:sz w:val="22"/>
              </w:rPr>
            </w:pPr>
            <w:r w:rsidRPr="00546679">
              <w:rPr>
                <w:sz w:val="22"/>
              </w:rPr>
              <w:t>Breakfast club</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1C0D" w14:textId="479F652E" w:rsidR="00A81848" w:rsidRDefault="00A81848" w:rsidP="00A81848">
            <w:pPr>
              <w:pStyle w:val="TableRowCentered"/>
              <w:jc w:val="left"/>
              <w:rPr>
                <w:sz w:val="22"/>
              </w:rPr>
            </w:pPr>
            <w:r>
              <w:t>The EEF found that breakfast clubs that offer a free and nutritious meal before school can boost reading, writing and maths results by the equivalent of two months progress per year. Breakfast clubs improve attendance/punctuality.</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F232" w14:textId="255EE755" w:rsidR="00A81848" w:rsidRDefault="00A81848" w:rsidP="00A81848">
            <w:pPr>
              <w:pStyle w:val="TableRowCentered"/>
              <w:jc w:val="left"/>
              <w:rPr>
                <w:sz w:val="22"/>
              </w:rPr>
            </w:pPr>
            <w:r>
              <w:rPr>
                <w:sz w:val="22"/>
              </w:rPr>
              <w:t>1,2,</w:t>
            </w:r>
            <w:r w:rsidR="00766C45">
              <w:rPr>
                <w:sz w:val="22"/>
              </w:rPr>
              <w:t>3</w:t>
            </w:r>
          </w:p>
        </w:tc>
      </w:tr>
      <w:tr w:rsidR="00A81848" w14:paraId="6C69E971"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B1B5" w14:textId="354EEB4D" w:rsidR="00A81848" w:rsidRPr="00546679" w:rsidRDefault="00A81848" w:rsidP="00A81848">
            <w:pPr>
              <w:pStyle w:val="TableRow"/>
              <w:rPr>
                <w:sz w:val="22"/>
              </w:rPr>
            </w:pPr>
            <w:r w:rsidRPr="00546679">
              <w:rPr>
                <w:sz w:val="22"/>
              </w:rPr>
              <w:t>Good relationships with parents</w:t>
            </w:r>
          </w:p>
          <w:p w14:paraId="364C57C0" w14:textId="77777777" w:rsidR="00A81848" w:rsidRPr="00546679" w:rsidRDefault="00A81848" w:rsidP="00A81848">
            <w:pPr>
              <w:pStyle w:val="TableRow"/>
              <w:rPr>
                <w:sz w:val="22"/>
              </w:rPr>
            </w:pPr>
            <w:r w:rsidRPr="00546679">
              <w:rPr>
                <w:sz w:val="22"/>
              </w:rPr>
              <w:t>Curriculum support sessions</w:t>
            </w:r>
          </w:p>
          <w:p w14:paraId="24D2CA64" w14:textId="77777777" w:rsidR="00A81848" w:rsidRPr="00546679" w:rsidRDefault="00A81848" w:rsidP="00A81848">
            <w:pPr>
              <w:pStyle w:val="TableRow"/>
              <w:rPr>
                <w:sz w:val="22"/>
              </w:rPr>
            </w:pPr>
            <w:r w:rsidRPr="00546679">
              <w:rPr>
                <w:sz w:val="22"/>
              </w:rPr>
              <w:t>Parent consultations – hybrid model.</w:t>
            </w:r>
          </w:p>
          <w:p w14:paraId="504E202F" w14:textId="62BA2EEB" w:rsidR="00A81848" w:rsidRDefault="00A81848" w:rsidP="00A81848">
            <w:pPr>
              <w:pStyle w:val="TableRow"/>
              <w:rPr>
                <w:i/>
                <w:sz w:val="22"/>
              </w:rPr>
            </w:pPr>
            <w:r w:rsidRPr="00546679">
              <w:rPr>
                <w:sz w:val="22"/>
              </w:rPr>
              <w:t>Signposting to Early Help</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582F7" w14:textId="50289D83" w:rsidR="00A81848" w:rsidRDefault="00A81848" w:rsidP="00A81848">
            <w:pPr>
              <w:pStyle w:val="TableRowCentered"/>
              <w:jc w:val="left"/>
            </w:pPr>
            <w:r>
              <w:t>Research (and common sense) tells us that families and parents are critical to pupils’ attainment. Feinstein and Symons (1999) found that parental interest in their child’s education was the single greatest predictor of age 16 achievement.</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1A0A" w14:textId="7F8FCF7B" w:rsidR="00A81848" w:rsidRDefault="00A81848" w:rsidP="00A81848">
            <w:pPr>
              <w:pStyle w:val="TableRowCentered"/>
              <w:jc w:val="left"/>
              <w:rPr>
                <w:sz w:val="22"/>
              </w:rPr>
            </w:pPr>
            <w:r>
              <w:rPr>
                <w:sz w:val="22"/>
              </w:rPr>
              <w:t>1,2,</w:t>
            </w:r>
            <w:r w:rsidR="00766C45">
              <w:rPr>
                <w:sz w:val="22"/>
              </w:rPr>
              <w:t>3</w:t>
            </w:r>
          </w:p>
        </w:tc>
      </w:tr>
      <w:tr w:rsidR="00A81848" w14:paraId="6C11CD5B"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CC231" w14:textId="2C4ACFD5" w:rsidR="00A81848" w:rsidRPr="00546679" w:rsidRDefault="00A81848" w:rsidP="00A81848">
            <w:pPr>
              <w:pStyle w:val="TableRow"/>
              <w:rPr>
                <w:sz w:val="22"/>
              </w:rPr>
            </w:pPr>
            <w:r>
              <w:rPr>
                <w:iCs/>
                <w:sz w:val="22"/>
              </w:rPr>
              <w:t xml:space="preserve">Enhanced curriculum to give pupils an opportunity to participate in activities </w:t>
            </w:r>
            <w:proofErr w:type="gramStart"/>
            <w:r>
              <w:rPr>
                <w:iCs/>
                <w:sz w:val="22"/>
              </w:rPr>
              <w:t>or  experiences</w:t>
            </w:r>
            <w:proofErr w:type="gramEnd"/>
            <w:r>
              <w:rPr>
                <w:iCs/>
                <w:sz w:val="22"/>
              </w:rPr>
              <w:t xml:space="preserve"> than may be unavailable to them</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22B2" w14:textId="77777777" w:rsidR="00A81848" w:rsidRPr="00C617AD" w:rsidRDefault="00A81848" w:rsidP="00A81848">
            <w:pPr>
              <w:pBdr>
                <w:top w:val="single" w:sz="2" w:space="0" w:color="EEEEEE"/>
                <w:left w:val="single" w:sz="2" w:space="0" w:color="EEEEEE"/>
                <w:bottom w:val="single" w:sz="2" w:space="0" w:color="EEEEEE"/>
                <w:right w:val="single" w:sz="2" w:space="0" w:color="EEEEEE"/>
              </w:pBdr>
              <w:suppressAutoHyphens w:val="0"/>
              <w:autoSpaceDN/>
              <w:spacing w:after="288" w:line="240" w:lineRule="auto"/>
              <w:ind w:left="720"/>
              <w:rPr>
                <w:rFonts w:cs="Arial"/>
                <w:color w:val="000000"/>
                <w:sz w:val="22"/>
                <w:szCs w:val="22"/>
              </w:rPr>
            </w:pPr>
            <w:r w:rsidRPr="00C617AD">
              <w:rPr>
                <w:rFonts w:cs="Arial"/>
                <w:color w:val="000000"/>
                <w:sz w:val="22"/>
                <w:szCs w:val="22"/>
              </w:rPr>
              <w:t>Aspiration interventions tend to fall into three broad categories:</w:t>
            </w:r>
          </w:p>
          <w:p w14:paraId="1B0D066B" w14:textId="77777777" w:rsidR="00A81848" w:rsidRPr="00B8701E" w:rsidRDefault="00A81848" w:rsidP="00A81848">
            <w:pPr>
              <w:pStyle w:val="ListParagraph"/>
              <w:numPr>
                <w:ilvl w:val="0"/>
                <w:numId w:val="19"/>
              </w:numPr>
              <w:pBdr>
                <w:top w:val="single" w:sz="2" w:space="0" w:color="EEEEEE"/>
                <w:left w:val="single" w:sz="2" w:space="5" w:color="EEEEEE"/>
                <w:bottom w:val="single" w:sz="2" w:space="0" w:color="EEEEEE"/>
                <w:right w:val="single" w:sz="2" w:space="0" w:color="EEEEEE"/>
              </w:pBdr>
              <w:suppressAutoHyphens w:val="0"/>
              <w:autoSpaceDN/>
              <w:spacing w:before="144" w:after="144" w:line="240" w:lineRule="auto"/>
              <w:rPr>
                <w:rFonts w:cs="Arial"/>
                <w:color w:val="000000"/>
                <w:sz w:val="22"/>
                <w:szCs w:val="22"/>
              </w:rPr>
            </w:pPr>
            <w:r w:rsidRPr="00B8701E">
              <w:rPr>
                <w:rFonts w:cs="Arial"/>
                <w:color w:val="000000"/>
                <w:sz w:val="22"/>
                <w:szCs w:val="22"/>
              </w:rPr>
              <w:t xml:space="preserve">interventions that focus on parents and </w:t>
            </w:r>
            <w:proofErr w:type="gramStart"/>
            <w:r w:rsidRPr="00B8701E">
              <w:rPr>
                <w:rFonts w:cs="Arial"/>
                <w:color w:val="000000"/>
                <w:sz w:val="22"/>
                <w:szCs w:val="22"/>
              </w:rPr>
              <w:t>families;</w:t>
            </w:r>
            <w:proofErr w:type="gramEnd"/>
          </w:p>
          <w:p w14:paraId="5DBC052B" w14:textId="77777777" w:rsidR="00A81848" w:rsidRPr="00B8701E" w:rsidRDefault="00A81848" w:rsidP="00A81848">
            <w:pPr>
              <w:pStyle w:val="ListParagraph"/>
              <w:numPr>
                <w:ilvl w:val="0"/>
                <w:numId w:val="19"/>
              </w:numPr>
              <w:pBdr>
                <w:top w:val="single" w:sz="2" w:space="0" w:color="EEEEEE"/>
                <w:left w:val="single" w:sz="2" w:space="5" w:color="EEEEEE"/>
                <w:bottom w:val="single" w:sz="2" w:space="0" w:color="EEEEEE"/>
                <w:right w:val="single" w:sz="2" w:space="0" w:color="EEEEEE"/>
              </w:pBdr>
              <w:suppressAutoHyphens w:val="0"/>
              <w:autoSpaceDN/>
              <w:spacing w:before="144" w:after="144" w:line="240" w:lineRule="auto"/>
              <w:rPr>
                <w:rFonts w:cs="Arial"/>
                <w:color w:val="000000"/>
                <w:sz w:val="22"/>
                <w:szCs w:val="22"/>
              </w:rPr>
            </w:pPr>
            <w:r w:rsidRPr="00B8701E">
              <w:rPr>
                <w:rFonts w:cs="Arial"/>
                <w:color w:val="000000"/>
                <w:sz w:val="22"/>
                <w:szCs w:val="22"/>
              </w:rPr>
              <w:t>interventions that focus on teaching practice; and</w:t>
            </w:r>
          </w:p>
          <w:p w14:paraId="111F3BB5" w14:textId="77777777" w:rsidR="00A81848" w:rsidRPr="00B8701E" w:rsidRDefault="00A81848" w:rsidP="00A81848">
            <w:pPr>
              <w:pStyle w:val="ListParagraph"/>
              <w:numPr>
                <w:ilvl w:val="0"/>
                <w:numId w:val="19"/>
              </w:numPr>
              <w:pBdr>
                <w:top w:val="single" w:sz="2" w:space="0" w:color="EEEEEE"/>
                <w:left w:val="single" w:sz="2" w:space="5" w:color="EEEEEE"/>
                <w:bottom w:val="single" w:sz="2" w:space="0" w:color="EEEEEE"/>
                <w:right w:val="single" w:sz="2" w:space="0" w:color="EEEEEE"/>
              </w:pBdr>
              <w:suppressAutoHyphens w:val="0"/>
              <w:autoSpaceDN/>
              <w:spacing w:before="144" w:after="144" w:line="240" w:lineRule="auto"/>
              <w:rPr>
                <w:rFonts w:cs="Arial"/>
                <w:color w:val="000000"/>
                <w:sz w:val="22"/>
                <w:szCs w:val="22"/>
              </w:rPr>
            </w:pPr>
            <w:r w:rsidRPr="00B8701E">
              <w:rPr>
                <w:rFonts w:cs="Arial"/>
                <w:color w:val="000000"/>
                <w:sz w:val="22"/>
                <w:szCs w:val="22"/>
              </w:rPr>
              <w:t>out-of-school interventions or extra-curricular activities, sometimes involving peers or mentors.</w:t>
            </w:r>
          </w:p>
          <w:p w14:paraId="7642569B" w14:textId="77777777" w:rsidR="00A81848" w:rsidRDefault="00A81848" w:rsidP="00A81848">
            <w:pPr>
              <w:pBdr>
                <w:top w:val="single" w:sz="2" w:space="0" w:color="EEEEEE"/>
                <w:left w:val="single" w:sz="2" w:space="0" w:color="EEEEEE"/>
                <w:bottom w:val="single" w:sz="2" w:space="0" w:color="EEEEEE"/>
                <w:right w:val="single" w:sz="2" w:space="0" w:color="EEEEEE"/>
              </w:pBdr>
              <w:suppressAutoHyphens w:val="0"/>
              <w:autoSpaceDN/>
              <w:spacing w:after="0" w:line="240" w:lineRule="auto"/>
              <w:ind w:left="720"/>
              <w:rPr>
                <w:rFonts w:cs="Arial"/>
                <w:color w:val="000000"/>
                <w:sz w:val="22"/>
                <w:szCs w:val="22"/>
              </w:rPr>
            </w:pPr>
            <w:r w:rsidRPr="00C617AD">
              <w:rPr>
                <w:rFonts w:cs="Arial"/>
                <w:color w:val="000000"/>
                <w:sz w:val="22"/>
                <w:szCs w:val="22"/>
              </w:rPr>
              <w:lastRenderedPageBreak/>
              <w:t>The approaches used in these interventions are diverse. Some aim to change aspirations directly by exposing children to new opportunities and others aim to raise aspirations by developing general self-esteem, motivation, or self-efficacy.</w:t>
            </w:r>
          </w:p>
          <w:p w14:paraId="6A017FED" w14:textId="77777777" w:rsidR="00A81848" w:rsidRDefault="00A81848" w:rsidP="00A81848">
            <w:pPr>
              <w:pBdr>
                <w:top w:val="single" w:sz="2" w:space="0" w:color="EEEEEE"/>
                <w:left w:val="single" w:sz="2" w:space="0" w:color="EEEEEE"/>
                <w:bottom w:val="single" w:sz="2" w:space="0" w:color="EEEEEE"/>
                <w:right w:val="single" w:sz="2" w:space="0" w:color="EEEEEE"/>
              </w:pBdr>
              <w:suppressAutoHyphens w:val="0"/>
              <w:autoSpaceDN/>
              <w:spacing w:after="0" w:line="240" w:lineRule="auto"/>
              <w:ind w:left="720"/>
              <w:rPr>
                <w:rFonts w:cs="Arial"/>
                <w:color w:val="000000"/>
                <w:sz w:val="22"/>
                <w:szCs w:val="22"/>
              </w:rPr>
            </w:pPr>
          </w:p>
          <w:p w14:paraId="56959E9B" w14:textId="77777777" w:rsidR="00A81848" w:rsidRPr="00C617AD" w:rsidRDefault="00A81848" w:rsidP="00A81848">
            <w:pPr>
              <w:pBdr>
                <w:top w:val="single" w:sz="2" w:space="0" w:color="EEEEEE"/>
                <w:left w:val="single" w:sz="2" w:space="0" w:color="EEEEEE"/>
                <w:bottom w:val="single" w:sz="2" w:space="0" w:color="EEEEEE"/>
                <w:right w:val="single" w:sz="2" w:space="0" w:color="EEEEEE"/>
              </w:pBdr>
              <w:suppressAutoHyphens w:val="0"/>
              <w:autoSpaceDN/>
              <w:spacing w:after="0" w:line="240" w:lineRule="auto"/>
              <w:ind w:left="720"/>
              <w:rPr>
                <w:rFonts w:cs="Arial"/>
                <w:color w:val="000000"/>
                <w:sz w:val="22"/>
                <w:szCs w:val="22"/>
              </w:rPr>
            </w:pPr>
            <w:r w:rsidRPr="00B8701E">
              <w:rPr>
                <w:rFonts w:cs="Arial"/>
                <w:color w:val="000000"/>
                <w:sz w:val="22"/>
                <w:szCs w:val="22"/>
              </w:rPr>
              <w:t>https://educationendowmentfoundation.org.uk/education-evidence/teaching-learning-toolkit/aspiration-interventions</w:t>
            </w:r>
          </w:p>
          <w:p w14:paraId="3552ADE3" w14:textId="44F295A5" w:rsidR="00A81848" w:rsidRDefault="00A81848" w:rsidP="00A81848">
            <w:pPr>
              <w:pStyle w:val="TableRowCentered"/>
              <w:jc w:val="left"/>
            </w:pPr>
            <w: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C05F" w14:textId="584C0040" w:rsidR="00A81848" w:rsidRDefault="00A81848" w:rsidP="00A81848">
            <w:pPr>
              <w:pStyle w:val="TableRowCentered"/>
              <w:jc w:val="left"/>
              <w:rPr>
                <w:sz w:val="22"/>
              </w:rPr>
            </w:pPr>
            <w:r>
              <w:rPr>
                <w:sz w:val="22"/>
              </w:rPr>
              <w:lastRenderedPageBreak/>
              <w:t>1, 2</w:t>
            </w:r>
            <w:r w:rsidR="00AF5E82">
              <w:rPr>
                <w:sz w:val="22"/>
              </w:rPr>
              <w:t>,</w:t>
            </w:r>
            <w:r>
              <w:rPr>
                <w:sz w:val="22"/>
              </w:rPr>
              <w:t xml:space="preserve"> </w:t>
            </w:r>
            <w:r w:rsidR="00AF5E82">
              <w:rPr>
                <w:sz w:val="22"/>
              </w:rPr>
              <w:t>3, 4</w:t>
            </w:r>
          </w:p>
        </w:tc>
      </w:tr>
      <w:tr w:rsidR="00A81848" w14:paraId="606E4694" w14:textId="77777777" w:rsidTr="0036122A">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1163" w14:textId="3D3306B5" w:rsidR="00A81848" w:rsidRDefault="00A81848" w:rsidP="00A81848">
            <w:pPr>
              <w:pStyle w:val="TableRow"/>
              <w:rPr>
                <w:iCs/>
                <w:sz w:val="22"/>
              </w:rPr>
            </w:pPr>
            <w:r>
              <w:rPr>
                <w:iCs/>
                <w:sz w:val="22"/>
              </w:rPr>
              <w:t>Contingency Fund for issues that arise and require quick actions to be taken to mitigate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DE4D" w14:textId="05FD0AFD" w:rsidR="00A81848" w:rsidRPr="00C617AD" w:rsidRDefault="00A81848" w:rsidP="00A81848">
            <w:pPr>
              <w:pBdr>
                <w:top w:val="single" w:sz="2" w:space="0" w:color="EEEEEE"/>
                <w:left w:val="single" w:sz="2" w:space="0" w:color="EEEEEE"/>
                <w:bottom w:val="single" w:sz="2" w:space="0" w:color="EEEEEE"/>
                <w:right w:val="single" w:sz="2" w:space="0" w:color="EEEEEE"/>
              </w:pBdr>
              <w:suppressAutoHyphens w:val="0"/>
              <w:autoSpaceDN/>
              <w:spacing w:after="288" w:line="240" w:lineRule="auto"/>
              <w:ind w:left="720"/>
              <w:rPr>
                <w:rFonts w:cs="Arial"/>
                <w:color w:val="000000"/>
                <w:sz w:val="22"/>
                <w:szCs w:val="22"/>
              </w:rPr>
            </w:pPr>
            <w:r>
              <w:rPr>
                <w:sz w:val="22"/>
              </w:rPr>
              <w:t>Whatever we plan for there will always be an instance/action which will not be catered for under any of the above activities</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19EC" w14:textId="2DEB76A3" w:rsidR="00A81848" w:rsidRDefault="00A81848" w:rsidP="00A81848">
            <w:pPr>
              <w:pStyle w:val="TableRowCentered"/>
              <w:jc w:val="left"/>
              <w:rPr>
                <w:sz w:val="22"/>
              </w:rPr>
            </w:pPr>
            <w:r>
              <w:rPr>
                <w:sz w:val="22"/>
              </w:rPr>
              <w:t>1,2,3,4</w:t>
            </w:r>
          </w:p>
        </w:tc>
      </w:tr>
    </w:tbl>
    <w:p w14:paraId="2A7D5540" w14:textId="77777777" w:rsidR="00E66558" w:rsidRDefault="00E66558">
      <w:pPr>
        <w:spacing w:before="240" w:after="0"/>
        <w:rPr>
          <w:b/>
          <w:bCs/>
          <w:color w:val="104F75"/>
          <w:sz w:val="28"/>
          <w:szCs w:val="28"/>
        </w:rPr>
      </w:pPr>
    </w:p>
    <w:p w14:paraId="2A7D5541" w14:textId="56FE1F60" w:rsidR="00E66558" w:rsidRDefault="009D71E8" w:rsidP="00120AB1">
      <w:pPr>
        <w:rPr>
          <w:b/>
          <w:bCs/>
          <w:color w:val="104F75"/>
          <w:sz w:val="28"/>
          <w:szCs w:val="28"/>
        </w:rPr>
      </w:pPr>
      <w:r>
        <w:rPr>
          <w:b/>
          <w:bCs/>
          <w:color w:val="104F75"/>
          <w:sz w:val="28"/>
          <w:szCs w:val="28"/>
        </w:rPr>
        <w:t>Total budgeted cost: £</w:t>
      </w:r>
      <w:r w:rsidR="006F2884">
        <w:rPr>
          <w:b/>
          <w:bCs/>
          <w:color w:val="104F75"/>
          <w:sz w:val="28"/>
          <w:szCs w:val="28"/>
        </w:rPr>
        <w:t>22600.00</w:t>
      </w:r>
    </w:p>
    <w:p w14:paraId="0D639E5E" w14:textId="2D673B05" w:rsidR="006F2884" w:rsidRDefault="006F2884" w:rsidP="00120AB1">
      <w:r>
        <w:rPr>
          <w:b/>
          <w:bCs/>
          <w:color w:val="104F75"/>
          <w:sz w:val="28"/>
          <w:szCs w:val="28"/>
        </w:rPr>
        <w:t>Remaining for unseen need or issues - £5520.00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B6F9E2A" w:rsidR="00E66558" w:rsidRDefault="009D71E8">
      <w:r>
        <w:t>This details the impact that our pupil premium activity had on pupils in the 202</w:t>
      </w:r>
      <w:r w:rsidR="00503D29">
        <w:t>3</w:t>
      </w:r>
      <w:r>
        <w:t xml:space="preserve"> to 202</w:t>
      </w:r>
      <w:r w:rsidR="00503D29">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F16EC" w14:textId="4F7CE6C1" w:rsidR="00503D29" w:rsidRDefault="00503D29">
            <w:pPr>
              <w:rPr>
                <w:lang w:eastAsia="en-US"/>
              </w:rPr>
            </w:pPr>
            <w:r>
              <w:rPr>
                <w:lang w:eastAsia="en-US"/>
              </w:rPr>
              <w:t xml:space="preserve">A nurture group was </w:t>
            </w:r>
            <w:r w:rsidR="006D0578">
              <w:rPr>
                <w:lang w:eastAsia="en-US"/>
              </w:rPr>
              <w:t xml:space="preserve">formed to help pupils settle </w:t>
            </w:r>
            <w:r w:rsidR="00A7266C">
              <w:rPr>
                <w:lang w:eastAsia="en-US"/>
              </w:rPr>
              <w:t xml:space="preserve">children with high SEMH needs </w:t>
            </w:r>
            <w:r w:rsidR="006D0578">
              <w:rPr>
                <w:lang w:eastAsia="en-US"/>
              </w:rPr>
              <w:t xml:space="preserve">into the school day, giving them the chance to talk about any worries or anxieties and </w:t>
            </w:r>
            <w:r w:rsidR="00342E05">
              <w:rPr>
                <w:lang w:eastAsia="en-US"/>
              </w:rPr>
              <w:t xml:space="preserve">have something to eat. This was in place for the Summer Term 2024. This was effective in settling the pupils in the small group. </w:t>
            </w:r>
            <w:r w:rsidR="00A7266C">
              <w:rPr>
                <w:lang w:eastAsia="en-US"/>
              </w:rPr>
              <w:t>Unfortunately,</w:t>
            </w:r>
            <w:r w:rsidR="00342E05">
              <w:rPr>
                <w:lang w:eastAsia="en-US"/>
              </w:rPr>
              <w:t xml:space="preserve"> </w:t>
            </w:r>
            <w:r w:rsidR="006E7D61">
              <w:rPr>
                <w:lang w:eastAsia="en-US"/>
              </w:rPr>
              <w:t xml:space="preserve">due to other school funding cuts we cannot continue this for the 2024-25 year. </w:t>
            </w:r>
          </w:p>
          <w:p w14:paraId="5F577427" w14:textId="51DF1248" w:rsidR="001661CC" w:rsidRPr="00235726" w:rsidRDefault="001661CC">
            <w:pPr>
              <w:rPr>
                <w:lang w:eastAsia="en-US"/>
              </w:rPr>
            </w:pPr>
            <w:r w:rsidRPr="00235726">
              <w:rPr>
                <w:lang w:eastAsia="en-US"/>
              </w:rPr>
              <w:t>We provided extra healthy snacks for all pupils to supplement school fruit to aid resilience for learning</w:t>
            </w:r>
            <w:r w:rsidR="00235726" w:rsidRPr="00235726">
              <w:rPr>
                <w:lang w:eastAsia="en-US"/>
              </w:rPr>
              <w:t xml:space="preserve"> (to lunchtime).</w:t>
            </w:r>
          </w:p>
          <w:p w14:paraId="5FB2BF6B" w14:textId="77777777" w:rsidR="001661CC" w:rsidRDefault="00235726" w:rsidP="00A3126C">
            <w:pPr>
              <w:rPr>
                <w:lang w:eastAsia="en-US"/>
              </w:rPr>
            </w:pPr>
            <w:r w:rsidRPr="00235726">
              <w:rPr>
                <w:lang w:eastAsia="en-US"/>
              </w:rPr>
              <w:t xml:space="preserve">All children had access to outdoor learning including </w:t>
            </w:r>
            <w:r w:rsidR="00C31B52">
              <w:rPr>
                <w:lang w:eastAsia="en-US"/>
              </w:rPr>
              <w:t xml:space="preserve">‘Forest Schools’ </w:t>
            </w:r>
            <w:r w:rsidRPr="00235726">
              <w:rPr>
                <w:lang w:eastAsia="en-US"/>
              </w:rPr>
              <w:t>sessions.</w:t>
            </w:r>
          </w:p>
          <w:p w14:paraId="4FAF8125" w14:textId="76D9641D" w:rsidR="00A116DE" w:rsidRDefault="00A116DE" w:rsidP="00A3126C">
            <w:pPr>
              <w:rPr>
                <w:lang w:eastAsia="en-US"/>
              </w:rPr>
            </w:pPr>
            <w:r>
              <w:rPr>
                <w:lang w:eastAsia="en-US"/>
              </w:rPr>
              <w:t xml:space="preserve">Some families </w:t>
            </w:r>
            <w:r w:rsidR="003C7504">
              <w:rPr>
                <w:lang w:eastAsia="en-US"/>
              </w:rPr>
              <w:t xml:space="preserve">benefitted from the free breakfast club provision. We also </w:t>
            </w:r>
            <w:r w:rsidR="001F669F">
              <w:rPr>
                <w:lang w:eastAsia="en-US"/>
              </w:rPr>
              <w:t xml:space="preserve">purchased school uniform for a family and paid for </w:t>
            </w:r>
            <w:r w:rsidR="003761F9">
              <w:rPr>
                <w:lang w:eastAsia="en-US"/>
              </w:rPr>
              <w:t xml:space="preserve">a taxi to transport a family to school. </w:t>
            </w:r>
          </w:p>
          <w:p w14:paraId="2A7D5546" w14:textId="4000EEEE" w:rsidR="00A3126C" w:rsidRDefault="008770C2" w:rsidP="003761F9">
            <w:r>
              <w:rPr>
                <w:lang w:eastAsia="en-US"/>
              </w:rPr>
              <w:t xml:space="preserve">There is still an attainment gap </w:t>
            </w:r>
            <w:r w:rsidR="00A116DE">
              <w:rPr>
                <w:lang w:eastAsia="en-US"/>
              </w:rPr>
              <w:t>between disadvantaged and non-disadvantaged pupils</w:t>
            </w:r>
            <w:r w:rsidR="002F1C74">
              <w:rPr>
                <w:lang w:eastAsia="en-US"/>
              </w:rPr>
              <w:t xml:space="preserve">, even with </w:t>
            </w:r>
            <w:r w:rsidR="00F01782">
              <w:rPr>
                <w:lang w:eastAsia="en-US"/>
              </w:rPr>
              <w:t xml:space="preserve">academic and therapeutic intervention. </w:t>
            </w:r>
            <w:r w:rsidR="00B23E99">
              <w:rPr>
                <w:lang w:eastAsia="en-US"/>
              </w:rPr>
              <w:t xml:space="preserve">The increase in SEMH </w:t>
            </w:r>
            <w:r w:rsidR="00E96F23">
              <w:rPr>
                <w:lang w:eastAsia="en-US"/>
              </w:rPr>
              <w:t xml:space="preserve">behaviours presented a huge challenge in 2023-24.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3264144" w:rsidR="00E66558" w:rsidRDefault="001661CC">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5"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01855320" w:rsidR="00E66558" w:rsidRDefault="001661CC">
            <w:pPr>
              <w:pStyle w:val="TableRow"/>
            </w:pPr>
            <w:r>
              <w:rPr>
                <w:color w:val="000000"/>
                <w:sz w:val="22"/>
              </w:rPr>
              <w:t xml:space="preserve">n/a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10930C03"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5"/>
    </w:tbl>
    <w:p w14:paraId="2A7D555E" w14:textId="77777777" w:rsidR="00E66558" w:rsidRDefault="00E66558"/>
    <w:p w14:paraId="2A7D5560" w14:textId="2B6330D1" w:rsidR="00E66558" w:rsidRDefault="00C31B52">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DCD9" w14:textId="77777777" w:rsidR="00E66558" w:rsidRDefault="00C31B52" w:rsidP="00C31B52">
            <w:pPr>
              <w:spacing w:before="120" w:after="120"/>
              <w:rPr>
                <w:rFonts w:cs="Arial"/>
                <w:i/>
                <w:iCs/>
              </w:rPr>
            </w:pPr>
            <w:r>
              <w:rPr>
                <w:rFonts w:cs="Arial"/>
                <w:i/>
                <w:iCs/>
              </w:rPr>
              <w:t>Events</w:t>
            </w:r>
          </w:p>
          <w:p w14:paraId="4F79CC92" w14:textId="77777777" w:rsidR="00C31B52" w:rsidRDefault="00C31B52" w:rsidP="00C31B52">
            <w:pPr>
              <w:pStyle w:val="ListParagraph"/>
              <w:numPr>
                <w:ilvl w:val="0"/>
                <w:numId w:val="14"/>
              </w:numPr>
              <w:spacing w:before="120" w:after="120"/>
              <w:rPr>
                <w:rFonts w:cs="Arial"/>
                <w:i/>
                <w:iCs/>
              </w:rPr>
            </w:pPr>
            <w:r w:rsidRPr="00C31B52">
              <w:rPr>
                <w:rFonts w:cs="Arial"/>
                <w:i/>
                <w:iCs/>
              </w:rPr>
              <w:t>Harvest Festival assembly</w:t>
            </w:r>
          </w:p>
          <w:p w14:paraId="2CEF7BED" w14:textId="0151732B" w:rsidR="00F6135E" w:rsidRPr="00C31B52" w:rsidRDefault="00F6135E" w:rsidP="00C31B52">
            <w:pPr>
              <w:pStyle w:val="ListParagraph"/>
              <w:numPr>
                <w:ilvl w:val="0"/>
                <w:numId w:val="14"/>
              </w:numPr>
              <w:spacing w:before="120" w:after="120"/>
              <w:rPr>
                <w:rFonts w:cs="Arial"/>
                <w:i/>
                <w:iCs/>
              </w:rPr>
            </w:pPr>
            <w:r>
              <w:rPr>
                <w:rFonts w:cs="Arial"/>
                <w:i/>
                <w:iCs/>
              </w:rPr>
              <w:t>St Mary’s Church Christmas celebrations and decorations</w:t>
            </w:r>
          </w:p>
          <w:p w14:paraId="3BA8CB6F" w14:textId="7C4C2141" w:rsidR="00C31B52" w:rsidRPr="00C31B52" w:rsidRDefault="00F6135E" w:rsidP="00C31B52">
            <w:pPr>
              <w:pStyle w:val="ListParagraph"/>
              <w:numPr>
                <w:ilvl w:val="0"/>
                <w:numId w:val="14"/>
              </w:numPr>
              <w:spacing w:before="120" w:after="120"/>
              <w:rPr>
                <w:rFonts w:cs="Arial"/>
                <w:i/>
                <w:iCs/>
              </w:rPr>
            </w:pPr>
            <w:r>
              <w:rPr>
                <w:rFonts w:cs="Arial"/>
                <w:i/>
                <w:iCs/>
              </w:rPr>
              <w:t>World Book Day</w:t>
            </w:r>
          </w:p>
          <w:p w14:paraId="0DF4DB9A" w14:textId="77777777" w:rsidR="00C31B52" w:rsidRDefault="00F052A4" w:rsidP="00C31B52">
            <w:pPr>
              <w:pStyle w:val="ListParagraph"/>
              <w:numPr>
                <w:ilvl w:val="0"/>
                <w:numId w:val="14"/>
              </w:numPr>
              <w:spacing w:before="120" w:after="120"/>
              <w:rPr>
                <w:i/>
                <w:iCs/>
              </w:rPr>
            </w:pPr>
            <w:r>
              <w:rPr>
                <w:i/>
                <w:iCs/>
              </w:rPr>
              <w:t>Maths Week</w:t>
            </w:r>
          </w:p>
          <w:p w14:paraId="5CBBEF80" w14:textId="77777777" w:rsidR="00F052A4" w:rsidRDefault="00D83525" w:rsidP="00C31B52">
            <w:pPr>
              <w:pStyle w:val="ListParagraph"/>
              <w:numPr>
                <w:ilvl w:val="0"/>
                <w:numId w:val="14"/>
              </w:numPr>
              <w:spacing w:before="120" w:after="120"/>
              <w:rPr>
                <w:i/>
                <w:iCs/>
              </w:rPr>
            </w:pPr>
            <w:r>
              <w:rPr>
                <w:i/>
                <w:iCs/>
              </w:rPr>
              <w:t>Circus visit and skills</w:t>
            </w:r>
          </w:p>
          <w:p w14:paraId="13097577" w14:textId="77777777" w:rsidR="00D83525" w:rsidRDefault="00336941" w:rsidP="00C31B52">
            <w:pPr>
              <w:pStyle w:val="ListParagraph"/>
              <w:numPr>
                <w:ilvl w:val="0"/>
                <w:numId w:val="14"/>
              </w:numPr>
              <w:spacing w:before="120" w:after="120"/>
              <w:rPr>
                <w:i/>
                <w:iCs/>
              </w:rPr>
            </w:pPr>
            <w:r>
              <w:rPr>
                <w:i/>
                <w:iCs/>
              </w:rPr>
              <w:t>Stay Safe week – visits from Emergency Services personnel</w:t>
            </w:r>
          </w:p>
          <w:p w14:paraId="2A7D5562" w14:textId="1613FEDF" w:rsidR="00336941" w:rsidRPr="00C31B52" w:rsidRDefault="001B5AF1" w:rsidP="00C31B52">
            <w:pPr>
              <w:pStyle w:val="ListParagraph"/>
              <w:numPr>
                <w:ilvl w:val="0"/>
                <w:numId w:val="14"/>
              </w:numPr>
              <w:spacing w:before="120" w:after="120"/>
              <w:rPr>
                <w:i/>
                <w:iCs/>
              </w:rPr>
            </w:pPr>
            <w:r>
              <w:rPr>
                <w:i/>
                <w:iCs/>
              </w:rPr>
              <w:t xml:space="preserve">Extra transition arrangements to St Mary’s Junior </w:t>
            </w:r>
            <w:r w:rsidR="004A5400">
              <w:rPr>
                <w:i/>
                <w:iCs/>
              </w:rPr>
              <w:t>School (KS2)</w:t>
            </w:r>
          </w:p>
        </w:tc>
      </w:tr>
      <w:bookmarkEnd w:id="12"/>
      <w:bookmarkEnd w:id="13"/>
      <w:bookmarkEnd w:id="14"/>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52084" w14:textId="77777777" w:rsidR="004A3CF3" w:rsidRDefault="004A3CF3">
      <w:pPr>
        <w:spacing w:after="0" w:line="240" w:lineRule="auto"/>
      </w:pPr>
      <w:r>
        <w:separator/>
      </w:r>
    </w:p>
  </w:endnote>
  <w:endnote w:type="continuationSeparator" w:id="0">
    <w:p w14:paraId="657391C4" w14:textId="77777777" w:rsidR="004A3CF3" w:rsidRDefault="004A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042E160" w:rsidR="00124A81" w:rsidRDefault="009D71E8">
    <w:pPr>
      <w:pStyle w:val="Footer"/>
      <w:ind w:firstLine="4513"/>
    </w:pPr>
    <w:r>
      <w:fldChar w:fldCharType="begin"/>
    </w:r>
    <w:r>
      <w:instrText xml:space="preserve"> PAGE </w:instrText>
    </w:r>
    <w:r>
      <w:fldChar w:fldCharType="separate"/>
    </w:r>
    <w:r w:rsidR="00CB48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C8DA" w14:textId="77777777" w:rsidR="004A3CF3" w:rsidRDefault="004A3CF3">
      <w:pPr>
        <w:spacing w:after="0" w:line="240" w:lineRule="auto"/>
      </w:pPr>
      <w:r>
        <w:separator/>
      </w:r>
    </w:p>
  </w:footnote>
  <w:footnote w:type="continuationSeparator" w:id="0">
    <w:p w14:paraId="02DC78A4" w14:textId="77777777" w:rsidR="004A3CF3" w:rsidRDefault="004A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0876" w14:textId="16B9626E" w:rsidR="008713DE" w:rsidRDefault="008713DE" w:rsidP="000C6A69">
    <w:pPr>
      <w:pStyle w:val="Header"/>
      <w:jc w:val="center"/>
      <w:rPr>
        <w:noProof/>
      </w:rPr>
    </w:pPr>
    <w:r>
      <w:rPr>
        <w:rFonts w:cstheme="minorHAnsi"/>
        <w:noProof/>
        <w:color w:val="31849B" w:themeColor="accent5" w:themeShade="BF"/>
      </w:rPr>
      <w:drawing>
        <wp:anchor distT="0" distB="0" distL="114300" distR="114300" simplePos="0" relativeHeight="251659264" behindDoc="0" locked="0" layoutInCell="1" allowOverlap="1" wp14:anchorId="406AD200" wp14:editId="14661F99">
          <wp:simplePos x="0" y="0"/>
          <wp:positionH relativeFrom="margin">
            <wp:posOffset>-238125</wp:posOffset>
          </wp:positionH>
          <wp:positionV relativeFrom="paragraph">
            <wp:posOffset>-98425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E94BC91" wp14:editId="17909F40">
          <wp:simplePos x="0" y="0"/>
          <wp:positionH relativeFrom="margin">
            <wp:posOffset>1762125</wp:posOffset>
          </wp:positionH>
          <wp:positionV relativeFrom="paragraph">
            <wp:posOffset>-301625</wp:posOffset>
          </wp:positionV>
          <wp:extent cx="2257425" cy="847725"/>
          <wp:effectExtent l="0" t="0" r="9525" b="9525"/>
          <wp:wrapSquare wrapText="bothSides"/>
          <wp:docPr id="163637695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76957" name="Picture 1" descr="A logo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E691" w14:textId="64D3BFBC" w:rsidR="008713DE" w:rsidRDefault="008713DE" w:rsidP="000C6A69">
    <w:pPr>
      <w:pStyle w:val="Header"/>
      <w:jc w:val="center"/>
      <w:rPr>
        <w:color w:val="4F81BD" w:themeColor="accent1"/>
        <w:sz w:val="40"/>
        <w:szCs w:val="40"/>
      </w:rPr>
    </w:pPr>
  </w:p>
  <w:p w14:paraId="463CF288" w14:textId="77777777" w:rsidR="008713DE" w:rsidRDefault="008713DE" w:rsidP="000C6A69">
    <w:pPr>
      <w:pStyle w:val="Header"/>
      <w:jc w:val="center"/>
      <w:rPr>
        <w:color w:val="4F81BD" w:themeColor="accent1"/>
        <w:sz w:val="40"/>
        <w:szCs w:val="40"/>
      </w:rPr>
    </w:pPr>
  </w:p>
  <w:p w14:paraId="2A7D54BC" w14:textId="5B3B8DBD" w:rsidR="00124A81" w:rsidRPr="000C6A69" w:rsidRDefault="000C6A69" w:rsidP="000C6A69">
    <w:pPr>
      <w:pStyle w:val="Header"/>
      <w:jc w:val="center"/>
      <w:rPr>
        <w:color w:val="4F81BD" w:themeColor="accent1"/>
        <w:sz w:val="40"/>
        <w:szCs w:val="40"/>
      </w:rPr>
    </w:pPr>
    <w:r w:rsidRPr="000C6A69">
      <w:rPr>
        <w:color w:val="4F81BD" w:themeColor="accent1"/>
        <w:sz w:val="40"/>
        <w:szCs w:val="40"/>
      </w:rPr>
      <w:t>Pupil Premium Strategy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D03B9"/>
    <w:multiLevelType w:val="hybridMultilevel"/>
    <w:tmpl w:val="21D6644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5C63A2"/>
    <w:multiLevelType w:val="hybridMultilevel"/>
    <w:tmpl w:val="E9CE37C8"/>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1546AE7"/>
    <w:multiLevelType w:val="hybridMultilevel"/>
    <w:tmpl w:val="ECFC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62365"/>
    <w:multiLevelType w:val="hybridMultilevel"/>
    <w:tmpl w:val="20C4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9407A42"/>
    <w:multiLevelType w:val="multilevel"/>
    <w:tmpl w:val="2AA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D202709"/>
    <w:multiLevelType w:val="hybridMultilevel"/>
    <w:tmpl w:val="394ED4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D8C6CED"/>
    <w:multiLevelType w:val="hybridMultilevel"/>
    <w:tmpl w:val="D87A6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E625871"/>
    <w:multiLevelType w:val="hybridMultilevel"/>
    <w:tmpl w:val="395E3B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2035492597">
    <w:abstractNumId w:val="5"/>
  </w:num>
  <w:num w:numId="2" w16cid:durableId="2000497306">
    <w:abstractNumId w:val="3"/>
  </w:num>
  <w:num w:numId="3" w16cid:durableId="369427916">
    <w:abstractNumId w:val="6"/>
  </w:num>
  <w:num w:numId="4" w16cid:durableId="1603758743">
    <w:abstractNumId w:val="7"/>
  </w:num>
  <w:num w:numId="5" w16cid:durableId="1043097190">
    <w:abstractNumId w:val="1"/>
  </w:num>
  <w:num w:numId="6" w16cid:durableId="614483185">
    <w:abstractNumId w:val="8"/>
  </w:num>
  <w:num w:numId="7" w16cid:durableId="1509100248">
    <w:abstractNumId w:val="12"/>
  </w:num>
  <w:num w:numId="8" w16cid:durableId="1697731274">
    <w:abstractNumId w:val="19"/>
  </w:num>
  <w:num w:numId="9" w16cid:durableId="989478457">
    <w:abstractNumId w:val="17"/>
  </w:num>
  <w:num w:numId="10" w16cid:durableId="1534073135">
    <w:abstractNumId w:val="14"/>
  </w:num>
  <w:num w:numId="11" w16cid:durableId="1866551377">
    <w:abstractNumId w:val="4"/>
  </w:num>
  <w:num w:numId="12" w16cid:durableId="1943292625">
    <w:abstractNumId w:val="18"/>
  </w:num>
  <w:num w:numId="13" w16cid:durableId="744955517">
    <w:abstractNumId w:val="11"/>
  </w:num>
  <w:num w:numId="14" w16cid:durableId="1958675381">
    <w:abstractNumId w:val="9"/>
  </w:num>
  <w:num w:numId="15" w16cid:durableId="1038432327">
    <w:abstractNumId w:val="10"/>
  </w:num>
  <w:num w:numId="16" w16cid:durableId="1727101875">
    <w:abstractNumId w:val="0"/>
  </w:num>
  <w:num w:numId="17" w16cid:durableId="2080402981">
    <w:abstractNumId w:val="20"/>
  </w:num>
  <w:num w:numId="18" w16cid:durableId="1717580633">
    <w:abstractNumId w:val="15"/>
  </w:num>
  <w:num w:numId="19" w16cid:durableId="439302055">
    <w:abstractNumId w:val="16"/>
  </w:num>
  <w:num w:numId="20" w16cid:durableId="1868710150">
    <w:abstractNumId w:val="13"/>
  </w:num>
  <w:num w:numId="21" w16cid:durableId="56376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58D5"/>
    <w:rsid w:val="00015D69"/>
    <w:rsid w:val="00025B40"/>
    <w:rsid w:val="00026A50"/>
    <w:rsid w:val="00041FDD"/>
    <w:rsid w:val="000556D7"/>
    <w:rsid w:val="00066B73"/>
    <w:rsid w:val="00074FCE"/>
    <w:rsid w:val="00085F9C"/>
    <w:rsid w:val="000A17F9"/>
    <w:rsid w:val="000C6A69"/>
    <w:rsid w:val="000C7387"/>
    <w:rsid w:val="000E251D"/>
    <w:rsid w:val="00100EBD"/>
    <w:rsid w:val="00120AB1"/>
    <w:rsid w:val="00124A81"/>
    <w:rsid w:val="0013505B"/>
    <w:rsid w:val="00141A36"/>
    <w:rsid w:val="00166113"/>
    <w:rsid w:val="001661CC"/>
    <w:rsid w:val="00185808"/>
    <w:rsid w:val="00195E64"/>
    <w:rsid w:val="001B5AF1"/>
    <w:rsid w:val="001D140C"/>
    <w:rsid w:val="001F1E74"/>
    <w:rsid w:val="001F669F"/>
    <w:rsid w:val="002104FC"/>
    <w:rsid w:val="00235726"/>
    <w:rsid w:val="002655F6"/>
    <w:rsid w:val="002B3989"/>
    <w:rsid w:val="002E14FB"/>
    <w:rsid w:val="002E66A0"/>
    <w:rsid w:val="002F1C74"/>
    <w:rsid w:val="003001F8"/>
    <w:rsid w:val="00327FA2"/>
    <w:rsid w:val="00332C25"/>
    <w:rsid w:val="00336941"/>
    <w:rsid w:val="00342E05"/>
    <w:rsid w:val="0036122A"/>
    <w:rsid w:val="003761F9"/>
    <w:rsid w:val="003C7504"/>
    <w:rsid w:val="004044AA"/>
    <w:rsid w:val="00416267"/>
    <w:rsid w:val="004446C7"/>
    <w:rsid w:val="00453C32"/>
    <w:rsid w:val="00457D42"/>
    <w:rsid w:val="00466DEC"/>
    <w:rsid w:val="00475E6F"/>
    <w:rsid w:val="004942B2"/>
    <w:rsid w:val="004967DB"/>
    <w:rsid w:val="004A3CF3"/>
    <w:rsid w:val="004A5400"/>
    <w:rsid w:val="00503D29"/>
    <w:rsid w:val="00516466"/>
    <w:rsid w:val="00542082"/>
    <w:rsid w:val="00546679"/>
    <w:rsid w:val="005A53A4"/>
    <w:rsid w:val="005E70EA"/>
    <w:rsid w:val="00636F22"/>
    <w:rsid w:val="006373C5"/>
    <w:rsid w:val="006662ED"/>
    <w:rsid w:val="006721DC"/>
    <w:rsid w:val="006B3395"/>
    <w:rsid w:val="006C7B10"/>
    <w:rsid w:val="006D0578"/>
    <w:rsid w:val="006E7D61"/>
    <w:rsid w:val="006E7FB1"/>
    <w:rsid w:val="006F2884"/>
    <w:rsid w:val="00713329"/>
    <w:rsid w:val="00713741"/>
    <w:rsid w:val="00721061"/>
    <w:rsid w:val="00741B9E"/>
    <w:rsid w:val="00743464"/>
    <w:rsid w:val="00761270"/>
    <w:rsid w:val="0076474B"/>
    <w:rsid w:val="00766C45"/>
    <w:rsid w:val="007C2F04"/>
    <w:rsid w:val="007C7D02"/>
    <w:rsid w:val="007D125B"/>
    <w:rsid w:val="00816EBE"/>
    <w:rsid w:val="008207F7"/>
    <w:rsid w:val="008713DE"/>
    <w:rsid w:val="008770C2"/>
    <w:rsid w:val="008B1790"/>
    <w:rsid w:val="008C0C57"/>
    <w:rsid w:val="008C5304"/>
    <w:rsid w:val="00974AEB"/>
    <w:rsid w:val="0099339A"/>
    <w:rsid w:val="009D38E2"/>
    <w:rsid w:val="009D71E8"/>
    <w:rsid w:val="00A111AE"/>
    <w:rsid w:val="00A116DE"/>
    <w:rsid w:val="00A3126C"/>
    <w:rsid w:val="00A37C1B"/>
    <w:rsid w:val="00A54E9C"/>
    <w:rsid w:val="00A554E4"/>
    <w:rsid w:val="00A7266C"/>
    <w:rsid w:val="00A81529"/>
    <w:rsid w:val="00A81848"/>
    <w:rsid w:val="00A86C5A"/>
    <w:rsid w:val="00AA4CEB"/>
    <w:rsid w:val="00AD08A2"/>
    <w:rsid w:val="00AD3831"/>
    <w:rsid w:val="00AF5E82"/>
    <w:rsid w:val="00B13463"/>
    <w:rsid w:val="00B23E99"/>
    <w:rsid w:val="00B95275"/>
    <w:rsid w:val="00BA2670"/>
    <w:rsid w:val="00BC76B8"/>
    <w:rsid w:val="00BE41C5"/>
    <w:rsid w:val="00C068D7"/>
    <w:rsid w:val="00C31B52"/>
    <w:rsid w:val="00C47273"/>
    <w:rsid w:val="00C94868"/>
    <w:rsid w:val="00CB482E"/>
    <w:rsid w:val="00CB7D7B"/>
    <w:rsid w:val="00CC62B7"/>
    <w:rsid w:val="00CE3148"/>
    <w:rsid w:val="00D07432"/>
    <w:rsid w:val="00D075EE"/>
    <w:rsid w:val="00D33FE5"/>
    <w:rsid w:val="00D41F40"/>
    <w:rsid w:val="00D447D0"/>
    <w:rsid w:val="00D45A21"/>
    <w:rsid w:val="00D6457E"/>
    <w:rsid w:val="00D64993"/>
    <w:rsid w:val="00D67D5F"/>
    <w:rsid w:val="00D74581"/>
    <w:rsid w:val="00D83525"/>
    <w:rsid w:val="00DE3B91"/>
    <w:rsid w:val="00E22CEF"/>
    <w:rsid w:val="00E2390C"/>
    <w:rsid w:val="00E53DD2"/>
    <w:rsid w:val="00E66558"/>
    <w:rsid w:val="00E907D1"/>
    <w:rsid w:val="00E96F23"/>
    <w:rsid w:val="00EB7BBA"/>
    <w:rsid w:val="00F01782"/>
    <w:rsid w:val="00F052A4"/>
    <w:rsid w:val="00F21467"/>
    <w:rsid w:val="00F54E1B"/>
    <w:rsid w:val="00F6135E"/>
    <w:rsid w:val="00F74EA1"/>
    <w:rsid w:val="00F9049F"/>
    <w:rsid w:val="00FB3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36122A"/>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562769">
      <w:bodyDiv w:val="1"/>
      <w:marLeft w:val="0"/>
      <w:marRight w:val="0"/>
      <w:marTop w:val="0"/>
      <w:marBottom w:val="0"/>
      <w:divBdr>
        <w:top w:val="none" w:sz="0" w:space="0" w:color="auto"/>
        <w:left w:val="none" w:sz="0" w:space="0" w:color="auto"/>
        <w:bottom w:val="none" w:sz="0" w:space="0" w:color="auto"/>
        <w:right w:val="none" w:sz="0" w:space="0" w:color="auto"/>
      </w:divBdr>
    </w:div>
    <w:div w:id="90062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96A30B88D0D49B654A896767BAEE8" ma:contentTypeVersion="9" ma:contentTypeDescription="Create a new document." ma:contentTypeScope="" ma:versionID="87faea0e59929669afac7af69efed978">
  <xsd:schema xmlns:xsd="http://www.w3.org/2001/XMLSchema" xmlns:xs="http://www.w3.org/2001/XMLSchema" xmlns:p="http://schemas.microsoft.com/office/2006/metadata/properties" xmlns:ns3="32c3908c-934c-4fe5-b8aa-c843bccbaec7" targetNamespace="http://schemas.microsoft.com/office/2006/metadata/properties" ma:root="true" ma:fieldsID="4794c771d595a3882f9eaafd1a2a7515" ns3:_="">
    <xsd:import namespace="32c3908c-934c-4fe5-b8aa-c843bccbae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3908c-934c-4fe5-b8aa-c843bccba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514E6-A526-492E-8D84-57CE93EDF260}">
  <ds:schemaRefs>
    <ds:schemaRef ds:uri="http://schemas.microsoft.com/sharepoint/v3/contenttype/forms"/>
  </ds:schemaRefs>
</ds:datastoreItem>
</file>

<file path=customXml/itemProps2.xml><?xml version="1.0" encoding="utf-8"?>
<ds:datastoreItem xmlns:ds="http://schemas.openxmlformats.org/officeDocument/2006/customXml" ds:itemID="{07EF59E2-2370-4F3E-A50C-FAAA8A3BA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3908c-934c-4fe5-b8aa-c843bccba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7EF6B-53E2-425A-A2C2-D7F3E90A9C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Heather Haines</cp:lastModifiedBy>
  <cp:revision>109</cp:revision>
  <cp:lastPrinted>2014-09-17T13:26:00Z</cp:lastPrinted>
  <dcterms:created xsi:type="dcterms:W3CDTF">2024-10-09T11:41:00Z</dcterms:created>
  <dcterms:modified xsi:type="dcterms:W3CDTF">2024-10-10T09:27:00Z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0x0101003FD96A30B88D0D49B654A896767BAEE8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